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0CA64" w14:textId="1AE783DC" w:rsidR="008F76F3" w:rsidRPr="008F76F3" w:rsidRDefault="008F76F3" w:rsidP="007F065B">
      <w:pPr>
        <w:shd w:val="clear" w:color="auto" w:fill="F2F2F2" w:themeFill="background1" w:themeFillShade="F2"/>
        <w:spacing w:after="0" w:line="276" w:lineRule="auto"/>
        <w:jc w:val="center"/>
        <w:rPr>
          <w:rFonts w:cs="Tahoma"/>
          <w:b/>
          <w:sz w:val="24"/>
          <w:szCs w:val="24"/>
        </w:rPr>
      </w:pPr>
      <w:r w:rsidRPr="008F76F3">
        <w:rPr>
          <w:rFonts w:cs="Tahoma"/>
          <w:b/>
          <w:sz w:val="24"/>
          <w:szCs w:val="24"/>
        </w:rPr>
        <w:t>ESTUDO TÉCNICO PRELIMINAR</w:t>
      </w:r>
    </w:p>
    <w:p w14:paraId="1C9A8B45" w14:textId="77777777" w:rsidR="008F76F3" w:rsidRPr="008F76F3" w:rsidRDefault="008F76F3" w:rsidP="008F76F3">
      <w:pPr>
        <w:spacing w:after="0" w:line="276" w:lineRule="auto"/>
        <w:rPr>
          <w:rFonts w:cs="Tahoma"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0D68AE69" w14:textId="77777777" w:rsidTr="007F065B">
        <w:tc>
          <w:tcPr>
            <w:tcW w:w="10201" w:type="dxa"/>
          </w:tcPr>
          <w:p w14:paraId="1CA8A904" w14:textId="14FB181D" w:rsidR="008F76F3" w:rsidRPr="008F76F3" w:rsidRDefault="008F76F3" w:rsidP="008F76F3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  <w:r w:rsidRPr="008F76F3">
              <w:rPr>
                <w:rFonts w:cs="Tahoma"/>
                <w:b/>
                <w:sz w:val="16"/>
                <w:szCs w:val="16"/>
              </w:rPr>
              <w:t xml:space="preserve">Secretaria requisitante: </w:t>
            </w:r>
            <w:r w:rsidRPr="008F76F3">
              <w:rPr>
                <w:rFonts w:cs="Tahoma"/>
                <w:sz w:val="16"/>
                <w:szCs w:val="16"/>
              </w:rPr>
              <w:t xml:space="preserve">Secretaria Municipal </w:t>
            </w:r>
            <w:r w:rsidR="00F732D3" w:rsidRPr="00F732D3">
              <w:rPr>
                <w:rFonts w:cs="Tahoma"/>
                <w:sz w:val="16"/>
                <w:szCs w:val="16"/>
              </w:rPr>
              <w:t>de Obras e Mobilidade Urbana</w:t>
            </w:r>
          </w:p>
        </w:tc>
      </w:tr>
      <w:tr w:rsidR="008F76F3" w:rsidRPr="008F76F3" w14:paraId="5EBF3E6C" w14:textId="77777777" w:rsidTr="007F065B">
        <w:tc>
          <w:tcPr>
            <w:tcW w:w="10201" w:type="dxa"/>
            <w:tcBorders>
              <w:bottom w:val="single" w:sz="4" w:space="0" w:color="auto"/>
            </w:tcBorders>
          </w:tcPr>
          <w:p w14:paraId="506C1DC7" w14:textId="6BB72AE2" w:rsidR="008F76F3" w:rsidRPr="00F732D3" w:rsidRDefault="008F76F3" w:rsidP="008F76F3">
            <w:pPr>
              <w:spacing w:line="276" w:lineRule="auto"/>
              <w:rPr>
                <w:rFonts w:cs="Tahoma"/>
                <w:bCs/>
                <w:sz w:val="16"/>
                <w:szCs w:val="16"/>
              </w:rPr>
            </w:pPr>
            <w:r w:rsidRPr="008F76F3">
              <w:rPr>
                <w:rFonts w:cs="Tahoma"/>
                <w:b/>
                <w:sz w:val="16"/>
                <w:szCs w:val="16"/>
              </w:rPr>
              <w:t xml:space="preserve">Servidor(es) e/ou Secretário responsável pela elaboração: </w:t>
            </w:r>
            <w:r w:rsidR="00D75ADC" w:rsidRPr="00D75ADC">
              <w:rPr>
                <w:rFonts w:cs="Tahoma"/>
                <w:bCs/>
                <w:sz w:val="16"/>
                <w:szCs w:val="16"/>
              </w:rPr>
              <w:t>Luis Carlos Demari</w:t>
            </w:r>
          </w:p>
        </w:tc>
      </w:tr>
      <w:tr w:rsidR="008F76F3" w:rsidRPr="008F76F3" w14:paraId="58FCAF88" w14:textId="77777777" w:rsidTr="007F065B">
        <w:tc>
          <w:tcPr>
            <w:tcW w:w="10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8E4BBE" w14:textId="77777777" w:rsidR="008F76F3" w:rsidRPr="008F76F3" w:rsidRDefault="008F76F3" w:rsidP="008F76F3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</w:p>
        </w:tc>
      </w:tr>
      <w:tr w:rsidR="008F76F3" w:rsidRPr="008F76F3" w14:paraId="3DD24274" w14:textId="77777777" w:rsidTr="007F065B">
        <w:tc>
          <w:tcPr>
            <w:tcW w:w="10201" w:type="dxa"/>
            <w:tcBorders>
              <w:top w:val="single" w:sz="4" w:space="0" w:color="auto"/>
            </w:tcBorders>
          </w:tcPr>
          <w:p w14:paraId="1BF269D1" w14:textId="77777777" w:rsidR="008F76F3" w:rsidRPr="008F76F3" w:rsidRDefault="008F76F3" w:rsidP="00251A32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  <w:r w:rsidRPr="008F76F3">
              <w:rPr>
                <w:rFonts w:cs="Tahoma"/>
                <w:b/>
                <w:sz w:val="16"/>
                <w:szCs w:val="16"/>
              </w:rPr>
              <w:t>1 - DESCRIÇÃO DA NECESSIDADE</w:t>
            </w:r>
          </w:p>
        </w:tc>
      </w:tr>
      <w:tr w:rsidR="008F76F3" w:rsidRPr="008F76F3" w14:paraId="7549A9A5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464C3993" w14:textId="77777777" w:rsidR="008F76F3" w:rsidRPr="00605AA6" w:rsidRDefault="008F76F3" w:rsidP="00251A32">
            <w:pPr>
              <w:spacing w:line="276" w:lineRule="auto"/>
              <w:rPr>
                <w:rFonts w:eastAsia="Times New Roman" w:cs="Tahoma"/>
                <w:b/>
                <w:color w:val="000000"/>
                <w:sz w:val="16"/>
                <w:szCs w:val="16"/>
                <w:lang w:eastAsia="pt-BR"/>
              </w:rPr>
            </w:pPr>
            <w:r w:rsidRPr="00605AA6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605AA6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Descrição da necessidade da contratação, considerado o problema a ser resolvido sob a perspectiva do interesse público (inciso I do § 1° do art. 18 da Lei 14.133/2021);</w:t>
            </w:r>
            <w:r w:rsidRPr="00605AA6">
              <w:rPr>
                <w:rFonts w:eastAsia="Times New Roman" w:cs="Tahoma"/>
                <w:b/>
                <w:color w:val="000000"/>
                <w:sz w:val="16"/>
                <w:szCs w:val="16"/>
                <w:lang w:eastAsia="pt-BR"/>
              </w:rPr>
              <w:t xml:space="preserve"> </w:t>
            </w:r>
          </w:p>
        </w:tc>
      </w:tr>
      <w:tr w:rsidR="008F76F3" w:rsidRPr="00B149BB" w14:paraId="20066B50" w14:textId="77777777" w:rsidTr="007F065B">
        <w:tc>
          <w:tcPr>
            <w:tcW w:w="10201" w:type="dxa"/>
          </w:tcPr>
          <w:p w14:paraId="43721777" w14:textId="77777777" w:rsidR="00037953" w:rsidRPr="00037953" w:rsidRDefault="00037953" w:rsidP="00037953">
            <w:pPr>
              <w:pStyle w:val="NormalWeb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037953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A presente contratação tem por finalidade a </w:t>
            </w:r>
            <w:r w:rsidRPr="00037953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>reconstrução da ciclovia</w:t>
            </w:r>
            <w:r w:rsidRPr="00037953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, conforme projetos, memorial descritivo, planilhas orçamentárias e plano de trabalho em anexo, em razão dos </w:t>
            </w:r>
            <w:r w:rsidRPr="00037953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>danos estruturais e funcionais verificados</w:t>
            </w:r>
            <w:r w:rsidRPr="00037953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, que comprometeram a segurança dos usuários e a adequada utilização do espaço público.</w:t>
            </w:r>
          </w:p>
          <w:p w14:paraId="0AFB1709" w14:textId="77777777" w:rsidR="00037953" w:rsidRPr="00037953" w:rsidRDefault="00037953" w:rsidP="00037953">
            <w:pPr>
              <w:pStyle w:val="NormalWeb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037953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A ciclovia integra a infraestrutura urbana destinada à </w:t>
            </w:r>
            <w:r w:rsidRPr="00037953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>mobilidade ativa</w:t>
            </w:r>
            <w:r w:rsidRPr="00037953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, promovendo segurança viária, acessibilidade, incentivo ao uso de meios de transporte não motorizados e melhoria da qualidade de vida da população. O estado atual do trecho inviabiliza sua utilização regular, gerando riscos à integridade física dos usuários e contrariando o interesse público.</w:t>
            </w:r>
          </w:p>
          <w:p w14:paraId="5DAF6FD6" w14:textId="77777777" w:rsidR="00037953" w:rsidRPr="00037953" w:rsidRDefault="00037953" w:rsidP="00037953">
            <w:pPr>
              <w:pStyle w:val="NormalWeb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037953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A não execução da obra mantém a população exposta a situações de insegurança, além de representar </w:t>
            </w:r>
            <w:r w:rsidRPr="00037953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>depreciação do patrimônio público</w:t>
            </w:r>
            <w:r w:rsidRPr="00037953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, descumprimento do planejamento municipal e possível prejuízo à aplicação dos recursos vinculados ao projeto aprovado.</w:t>
            </w:r>
          </w:p>
          <w:p w14:paraId="2E624E18" w14:textId="11808B50" w:rsidR="00037953" w:rsidRPr="00037953" w:rsidRDefault="00037953" w:rsidP="00037953">
            <w:pPr>
              <w:pStyle w:val="NormalWeb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037953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Dessa forma, a contratação mostra-se </w:t>
            </w:r>
            <w:r w:rsidRPr="00037953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>necessária, adequada e proporcional</w:t>
            </w:r>
            <w:r w:rsidRPr="00037953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, sendo o meio mais eficiente para restabelecer as condições de uso da ciclovia, assegurar a função social da infraestrutura urbana e atender ao interesse público</w:t>
            </w:r>
            <w:r w:rsidR="0019508B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.</w:t>
            </w:r>
          </w:p>
          <w:p w14:paraId="5F4FF473" w14:textId="4774B159" w:rsidR="00037953" w:rsidRPr="00037953" w:rsidRDefault="00EE286F" w:rsidP="00037953">
            <w:pPr>
              <w:autoSpaceDE w:val="0"/>
              <w:autoSpaceDN w:val="0"/>
              <w:adjustRightInd w:val="0"/>
              <w:spacing w:after="0"/>
              <w:ind w:firstLine="0"/>
              <w:contextualSpacing w:val="0"/>
              <w:rPr>
                <w:rFonts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</w:pPr>
            <w:r w:rsidRPr="00683538">
              <w:rPr>
                <w:rFonts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A imprescindibilidade da realização desta obra decorre, ainda, da existência de </w:t>
            </w:r>
            <w:r w:rsidRPr="00037953">
              <w:rPr>
                <w:rFonts w:cs="Tahoma"/>
                <w:b/>
                <w:bCs/>
                <w:sz w:val="16"/>
                <w:szCs w:val="16"/>
                <w:shd w:val="clear" w:color="auto" w:fill="FFFFFF"/>
              </w:rPr>
              <w:t>recurs</w:t>
            </w:r>
            <w:r w:rsidR="000B6657" w:rsidRPr="00037953">
              <w:rPr>
                <w:rFonts w:cs="Tahoma"/>
                <w:b/>
                <w:bCs/>
                <w:sz w:val="16"/>
                <w:szCs w:val="16"/>
                <w:shd w:val="clear" w:color="auto" w:fill="FFFFFF"/>
              </w:rPr>
              <w:t>os federais oriundos d</w:t>
            </w:r>
            <w:r w:rsidR="00037953" w:rsidRPr="00037953">
              <w:rPr>
                <w:rFonts w:cs="Tahoma"/>
                <w:b/>
                <w:bCs/>
                <w:sz w:val="16"/>
                <w:szCs w:val="16"/>
                <w:shd w:val="clear" w:color="auto" w:fill="FFFFFF"/>
              </w:rPr>
              <w:t xml:space="preserve">a Defesa Civil para ações de reconstrução, por meio do protocolo </w:t>
            </w:r>
            <w:r w:rsidR="00037953" w:rsidRPr="00037953">
              <w:rPr>
                <w:rFonts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nº REC-RS-4310363-20250620-20 e </w:t>
            </w:r>
            <w:r w:rsidR="00037953">
              <w:rPr>
                <w:rFonts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processo nº </w:t>
            </w:r>
            <w:r w:rsidR="00037953" w:rsidRPr="00037953">
              <w:rPr>
                <w:rFonts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59053.023172/2025-45</w:t>
            </w:r>
            <w:r w:rsidR="00037953">
              <w:rPr>
                <w:rFonts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.</w:t>
            </w:r>
          </w:p>
          <w:p w14:paraId="25FE18B4" w14:textId="04AAD5E1" w:rsidR="00F362C6" w:rsidRPr="00605AA6" w:rsidRDefault="00F362C6" w:rsidP="00037953">
            <w:pPr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ascii="CIDFont+F2" w:hAnsi="CIDFont+F2" w:cs="CIDFont+F2"/>
                <w:b/>
                <w:bCs/>
                <w:sz w:val="13"/>
                <w:szCs w:val="13"/>
              </w:rPr>
            </w:pPr>
          </w:p>
        </w:tc>
      </w:tr>
    </w:tbl>
    <w:p w14:paraId="314F9F33" w14:textId="77777777" w:rsidR="008F76F3" w:rsidRPr="00B149BB" w:rsidRDefault="008F76F3" w:rsidP="008F76F3">
      <w:pPr>
        <w:spacing w:after="0" w:line="276" w:lineRule="auto"/>
        <w:rPr>
          <w:rFonts w:cs="Tahoma"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B149BB" w14:paraId="1BB79560" w14:textId="77777777" w:rsidTr="007F065B">
        <w:tc>
          <w:tcPr>
            <w:tcW w:w="10201" w:type="dxa"/>
          </w:tcPr>
          <w:p w14:paraId="569B37C6" w14:textId="77777777" w:rsidR="008F76F3" w:rsidRPr="00B149BB" w:rsidRDefault="008F76F3" w:rsidP="00251A32">
            <w:pPr>
              <w:shd w:val="clear" w:color="auto" w:fill="FFFFFF"/>
              <w:spacing w:line="276" w:lineRule="auto"/>
              <w:textAlignment w:val="baseline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149BB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2 – PREVISÃO NO PLANO DE CONTRATAÇÕES ANUAL</w:t>
            </w:r>
          </w:p>
        </w:tc>
      </w:tr>
      <w:tr w:rsidR="008F76F3" w:rsidRPr="00B149BB" w14:paraId="7498D87B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6CEA53AC" w14:textId="77777777" w:rsidR="008F76F3" w:rsidRPr="00B149BB" w:rsidRDefault="008F76F3" w:rsidP="00251A32">
            <w:pPr>
              <w:pStyle w:val="Default"/>
              <w:spacing w:line="276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t-BR"/>
              </w:rPr>
            </w:pPr>
            <w:r w:rsidRPr="00B149BB">
              <w:rPr>
                <w:rFonts w:ascii="Tahoma" w:eastAsia="Times New Roman" w:hAnsi="Tahoma" w:cs="Tahoma"/>
                <w:bCs/>
                <w:sz w:val="16"/>
                <w:szCs w:val="16"/>
                <w:lang w:eastAsia="pt-BR"/>
              </w:rPr>
              <w:t xml:space="preserve">Fundamentação: </w:t>
            </w:r>
            <w:r w:rsidRPr="00B149BB">
              <w:rPr>
                <w:rFonts w:ascii="Tahoma" w:hAnsi="Tahoma" w:cs="Tahoma"/>
                <w:sz w:val="16"/>
                <w:szCs w:val="16"/>
              </w:rPr>
              <w:t xml:space="preserve">Demonstração da previsão da contratação no plano de contratações anual, sempre que elaborado, de modo a indicar o seu alinhamento com o planejamento da Administração </w:t>
            </w:r>
            <w:r w:rsidRPr="00B149BB">
              <w:rPr>
                <w:rFonts w:ascii="Tahoma" w:eastAsia="Times New Roman" w:hAnsi="Tahoma" w:cs="Tahoma"/>
                <w:sz w:val="16"/>
                <w:szCs w:val="16"/>
                <w:lang w:eastAsia="pt-BR"/>
              </w:rPr>
              <w:t xml:space="preserve">(inciso II do § 1° do art. 18 da Lei 14.133/21); </w:t>
            </w:r>
          </w:p>
        </w:tc>
      </w:tr>
      <w:tr w:rsidR="008F76F3" w:rsidRPr="00B149BB" w14:paraId="27DB0D15" w14:textId="77777777" w:rsidTr="007F065B">
        <w:tc>
          <w:tcPr>
            <w:tcW w:w="10201" w:type="dxa"/>
          </w:tcPr>
          <w:p w14:paraId="26B5CF36" w14:textId="1FBD637F" w:rsidR="008F76F3" w:rsidRPr="00B149BB" w:rsidRDefault="0019508B" w:rsidP="00251A32">
            <w:pPr>
              <w:spacing w:line="276" w:lineRule="auto"/>
              <w:rPr>
                <w:rFonts w:cs="Tahoma"/>
                <w:color w:val="FF0000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O Plano de </w:t>
            </w:r>
            <w:r w:rsidR="003B05D2">
              <w:rPr>
                <w:rFonts w:cs="Tahoma"/>
                <w:sz w:val="16"/>
                <w:szCs w:val="16"/>
              </w:rPr>
              <w:t xml:space="preserve">contratações anual de </w:t>
            </w:r>
            <w:r>
              <w:rPr>
                <w:rFonts w:cs="Tahoma"/>
                <w:sz w:val="16"/>
                <w:szCs w:val="16"/>
              </w:rPr>
              <w:t>2026</w:t>
            </w:r>
            <w:r w:rsidR="003B05D2">
              <w:rPr>
                <w:rFonts w:cs="Tahoma"/>
                <w:sz w:val="16"/>
                <w:szCs w:val="16"/>
              </w:rPr>
              <w:t xml:space="preserve"> </w:t>
            </w:r>
            <w:r>
              <w:rPr>
                <w:rFonts w:cs="Tahoma"/>
                <w:sz w:val="16"/>
                <w:szCs w:val="16"/>
              </w:rPr>
              <w:t>não foi realizado.</w:t>
            </w:r>
          </w:p>
        </w:tc>
      </w:tr>
    </w:tbl>
    <w:p w14:paraId="19919687" w14:textId="77777777" w:rsidR="008F76F3" w:rsidRPr="00B149BB" w:rsidRDefault="008F76F3" w:rsidP="008F76F3">
      <w:pPr>
        <w:spacing w:after="0" w:line="276" w:lineRule="auto"/>
        <w:rPr>
          <w:rFonts w:cs="Tahoma"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B149BB" w14:paraId="555D9A9F" w14:textId="77777777" w:rsidTr="004229B9">
        <w:tc>
          <w:tcPr>
            <w:tcW w:w="10201" w:type="dxa"/>
          </w:tcPr>
          <w:p w14:paraId="01487FDB" w14:textId="77777777" w:rsidR="008F76F3" w:rsidRPr="00B149BB" w:rsidRDefault="008F76F3" w:rsidP="00251A32">
            <w:pPr>
              <w:spacing w:line="276" w:lineRule="auto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149BB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3 – REQUISITOS DA CONTRATAÇÃO</w:t>
            </w:r>
          </w:p>
        </w:tc>
      </w:tr>
      <w:tr w:rsidR="008F76F3" w:rsidRPr="00B149BB" w14:paraId="71E721F9" w14:textId="77777777" w:rsidTr="004229B9">
        <w:tc>
          <w:tcPr>
            <w:tcW w:w="10201" w:type="dxa"/>
            <w:shd w:val="clear" w:color="auto" w:fill="F2F2F2" w:themeFill="background1" w:themeFillShade="F2"/>
          </w:tcPr>
          <w:p w14:paraId="0301AA19" w14:textId="77777777" w:rsidR="008F76F3" w:rsidRPr="00B149BB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B149BB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B149BB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Descrição dos requisitos necessários e suficientes à escolha da solução (inciso III do § 1° do art. 18 da Lei 14.133/2021); </w:t>
            </w:r>
          </w:p>
        </w:tc>
      </w:tr>
      <w:tr w:rsidR="008F76F3" w:rsidRPr="00B149BB" w14:paraId="23A4E659" w14:textId="77777777" w:rsidTr="004229B9">
        <w:tc>
          <w:tcPr>
            <w:tcW w:w="10201" w:type="dxa"/>
          </w:tcPr>
          <w:p w14:paraId="5C50CA0C" w14:textId="3F6573CC" w:rsidR="00291F02" w:rsidRPr="00B149BB" w:rsidRDefault="0015778E" w:rsidP="0015778E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B149BB">
              <w:rPr>
                <w:rFonts w:cs="Tahoma"/>
                <w:sz w:val="16"/>
                <w:szCs w:val="16"/>
              </w:rPr>
              <w:t>A contratação a que se refere este termo é classificada com uma obra de engenharia, sendo que sua contratação se dará por meio de processo licitatório, na modalidade Concorrência Eletrônica, sob regime de empreitada por menor preço global.</w:t>
            </w:r>
          </w:p>
          <w:p w14:paraId="4D03A593" w14:textId="77777777" w:rsidR="00476A34" w:rsidRPr="00B149BB" w:rsidRDefault="00476A34" w:rsidP="008229C5">
            <w:pPr>
              <w:spacing w:line="276" w:lineRule="auto"/>
              <w:rPr>
                <w:rFonts w:cs="Tahoma"/>
                <w:sz w:val="16"/>
                <w:szCs w:val="16"/>
              </w:rPr>
            </w:pPr>
          </w:p>
          <w:p w14:paraId="6EEBBDE4" w14:textId="6B9EFAAD" w:rsidR="008229C5" w:rsidRPr="00B149BB" w:rsidRDefault="008229C5" w:rsidP="008229C5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B149BB">
              <w:rPr>
                <w:rFonts w:cs="Tahoma"/>
                <w:sz w:val="16"/>
                <w:szCs w:val="16"/>
              </w:rPr>
              <w:t xml:space="preserve">O contratado deverá: </w:t>
            </w:r>
          </w:p>
          <w:p w14:paraId="64E0CBC9" w14:textId="77777777" w:rsidR="008229C5" w:rsidRPr="00B149BB" w:rsidRDefault="008229C5" w:rsidP="008C3A2F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B149BB">
              <w:rPr>
                <w:rFonts w:cs="Tahoma"/>
                <w:sz w:val="16"/>
                <w:szCs w:val="16"/>
              </w:rPr>
              <w:t>▪ Possuir ramo de atividade compatível com o objeto;</w:t>
            </w:r>
          </w:p>
          <w:p w14:paraId="1EF6D6E2" w14:textId="77777777" w:rsidR="008229C5" w:rsidRPr="00B149BB" w:rsidRDefault="008229C5" w:rsidP="008C3A2F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B149BB">
              <w:rPr>
                <w:rFonts w:cs="Tahoma"/>
                <w:sz w:val="16"/>
                <w:szCs w:val="16"/>
              </w:rPr>
              <w:t xml:space="preserve">▪ Possuir responsável técnico, registrado no Conselho Regional de Engenharia e Agronomia do Rio Grande do Sul (CREA/RS) ou Conselho de Arquitetura e Urbanismo (CAU/RS); </w:t>
            </w:r>
          </w:p>
          <w:p w14:paraId="7E9E4F0D" w14:textId="77777777" w:rsidR="008229C5" w:rsidRPr="00B149BB" w:rsidRDefault="008229C5" w:rsidP="008C3A2F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B149BB">
              <w:rPr>
                <w:rFonts w:cs="Tahoma"/>
                <w:sz w:val="16"/>
                <w:szCs w:val="16"/>
              </w:rPr>
              <w:t xml:space="preserve">▪ Comprovante de registro vigente da empresa no Conselho Regional de Engenharia e Agronomia (CREA) ou Conselho de Arquitetura e Urbanismo (CAU); </w:t>
            </w:r>
          </w:p>
          <w:p w14:paraId="1A4B9358" w14:textId="77777777" w:rsidR="008229C5" w:rsidRPr="00B149BB" w:rsidRDefault="008229C5" w:rsidP="008C3A2F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B149BB">
              <w:rPr>
                <w:rFonts w:cs="Tahoma"/>
                <w:sz w:val="16"/>
                <w:szCs w:val="16"/>
              </w:rPr>
              <w:t xml:space="preserve">▪ Apresentar as certidões negativas exigidas na Lei 14.133/21; </w:t>
            </w:r>
          </w:p>
          <w:p w14:paraId="606066EA" w14:textId="03111288" w:rsidR="008229C5" w:rsidRPr="00B149BB" w:rsidRDefault="008229C5" w:rsidP="008C3A2F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B149BB">
              <w:rPr>
                <w:rFonts w:cs="Tahoma"/>
                <w:sz w:val="16"/>
                <w:szCs w:val="16"/>
              </w:rPr>
              <w:t>▪ A contratada juntamente com o Responsável Técnico, deverá emitir Anotação de Responsabilidade Técnica (ART) ou Registro de Responsabilidade Técnica (RRT) de execução da obra</w:t>
            </w:r>
            <w:r w:rsidR="00B149BB">
              <w:rPr>
                <w:rFonts w:cs="Tahoma"/>
                <w:sz w:val="16"/>
                <w:szCs w:val="16"/>
              </w:rPr>
              <w:t>;</w:t>
            </w:r>
          </w:p>
          <w:p w14:paraId="4ECCA887" w14:textId="00EEC043" w:rsidR="00D421CE" w:rsidRPr="00B149BB" w:rsidRDefault="008229C5" w:rsidP="008C3A2F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B149BB">
              <w:rPr>
                <w:rFonts w:cs="Tahoma"/>
                <w:sz w:val="16"/>
                <w:szCs w:val="16"/>
              </w:rPr>
              <w:t>▪ A contratada deverá emitir a Certidão Negativa de Obra (CNO)</w:t>
            </w:r>
            <w:r w:rsidR="00B149BB">
              <w:rPr>
                <w:rFonts w:cs="Tahoma"/>
                <w:sz w:val="16"/>
                <w:szCs w:val="16"/>
              </w:rPr>
              <w:t>;</w:t>
            </w:r>
          </w:p>
          <w:p w14:paraId="05BA597E" w14:textId="5E906CA6" w:rsidR="008C54C2" w:rsidRPr="00B149BB" w:rsidRDefault="008C54C2" w:rsidP="008C3A2F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B149BB">
              <w:rPr>
                <w:rFonts w:cs="Tahoma"/>
                <w:sz w:val="16"/>
                <w:szCs w:val="16"/>
              </w:rPr>
              <w:t xml:space="preserve">▪ </w:t>
            </w:r>
            <w:r w:rsidR="0019508B" w:rsidRPr="003F6604">
              <w:rPr>
                <w:sz w:val="16"/>
                <w:szCs w:val="16"/>
              </w:rPr>
              <w:t>Licença de Operação (LO) vigente da usina de asfalto à quente e da instalação da britagem. No caso em que qualquer das instalações de</w:t>
            </w:r>
            <w:r w:rsidR="0019508B">
              <w:rPr>
                <w:sz w:val="16"/>
                <w:szCs w:val="16"/>
              </w:rPr>
              <w:t xml:space="preserve"> </w:t>
            </w:r>
            <w:r w:rsidR="0019508B" w:rsidRPr="003F6604">
              <w:rPr>
                <w:sz w:val="16"/>
                <w:szCs w:val="16"/>
              </w:rPr>
              <w:t>britagem e usina de asfalto não for de propriedade do licitante, deverá ser apresentada declaração de disponibilidade do proprietário para</w:t>
            </w:r>
            <w:r w:rsidR="0019508B">
              <w:rPr>
                <w:sz w:val="16"/>
                <w:szCs w:val="16"/>
              </w:rPr>
              <w:t xml:space="preserve"> </w:t>
            </w:r>
            <w:r w:rsidR="0019508B" w:rsidRPr="003F6604">
              <w:rPr>
                <w:sz w:val="16"/>
                <w:szCs w:val="16"/>
              </w:rPr>
              <w:t>atendimento do objeto licitado, com firma reconhecida em Cartório, cumpridas as determinações deste subitem.</w:t>
            </w:r>
          </w:p>
          <w:p w14:paraId="103359B5" w14:textId="3FB3DB65" w:rsidR="008F7703" w:rsidRPr="00FB68AF" w:rsidRDefault="008F7703" w:rsidP="008F7703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BC58A3">
              <w:rPr>
                <w:rFonts w:cs="Tahoma"/>
                <w:sz w:val="16"/>
                <w:szCs w:val="16"/>
              </w:rPr>
              <w:t xml:space="preserve">▪ Comprovação de Capacidade Técnico-Operacional, mediante apresentação de, no mínimo </w:t>
            </w:r>
            <w:r w:rsidRPr="00BC58A3">
              <w:rPr>
                <w:rFonts w:cs="Tahoma"/>
                <w:b/>
                <w:bCs/>
                <w:sz w:val="16"/>
                <w:szCs w:val="16"/>
              </w:rPr>
              <w:t>1 (um)</w:t>
            </w:r>
            <w:r w:rsidR="00BB3A46">
              <w:rPr>
                <w:b/>
                <w:bCs/>
                <w:sz w:val="16"/>
                <w:szCs w:val="20"/>
              </w:rPr>
              <w:t xml:space="preserve"> e no máximo 2 (dois),</w:t>
            </w:r>
            <w:r w:rsidRPr="00BC58A3">
              <w:rPr>
                <w:rFonts w:cs="Tahoma"/>
                <w:b/>
                <w:bCs/>
                <w:sz w:val="16"/>
                <w:szCs w:val="16"/>
              </w:rPr>
              <w:t xml:space="preserve"> atestado</w:t>
            </w:r>
            <w:r>
              <w:rPr>
                <w:rFonts w:cs="Tahoma"/>
                <w:b/>
                <w:bCs/>
                <w:sz w:val="16"/>
                <w:szCs w:val="16"/>
              </w:rPr>
              <w:t xml:space="preserve"> </w:t>
            </w:r>
            <w:r w:rsidRPr="00FB68AF">
              <w:rPr>
                <w:rFonts w:cs="Tahoma"/>
                <w:b/>
                <w:bCs/>
                <w:sz w:val="16"/>
                <w:szCs w:val="16"/>
                <w:u w:val="single"/>
              </w:rPr>
              <w:t>para cada item de maior</w:t>
            </w:r>
            <w:r>
              <w:rPr>
                <w:rFonts w:cs="Tahoma"/>
                <w:b/>
                <w:bCs/>
                <w:sz w:val="16"/>
                <w:szCs w:val="16"/>
              </w:rPr>
              <w:t xml:space="preserve"> </w:t>
            </w:r>
            <w:r w:rsidRPr="00FB68AF">
              <w:rPr>
                <w:rFonts w:cs="Tahoma"/>
                <w:b/>
                <w:bCs/>
                <w:sz w:val="16"/>
                <w:szCs w:val="16"/>
                <w:u w:val="single"/>
              </w:rPr>
              <w:t>relevância</w:t>
            </w:r>
            <w:r w:rsidRPr="00FB68AF">
              <w:rPr>
                <w:rFonts w:cs="Tahoma"/>
                <w:sz w:val="16"/>
                <w:szCs w:val="16"/>
                <w:u w:val="single"/>
              </w:rPr>
              <w:t xml:space="preserve"> </w:t>
            </w:r>
            <w:r w:rsidRPr="00BC58A3">
              <w:rPr>
                <w:rFonts w:cs="Tahoma"/>
                <w:sz w:val="16"/>
                <w:szCs w:val="16"/>
              </w:rPr>
              <w:t xml:space="preserve">fornecido por pessoa jurídica direito público ou privado, </w:t>
            </w:r>
            <w:r w:rsidRPr="00BC58A3">
              <w:rPr>
                <w:rFonts w:cs="Tahoma"/>
                <w:b/>
                <w:bCs/>
                <w:sz w:val="16"/>
                <w:szCs w:val="16"/>
              </w:rPr>
              <w:t xml:space="preserve">acompanhado da Certidão de Acervo Técnico (CAT) ou Certidão de Acervo Técnico com Atestado (CAT-A) dos profissionais que executaram o serviço, </w:t>
            </w:r>
            <w:r w:rsidRPr="00BC58A3">
              <w:rPr>
                <w:rFonts w:cs="Tahoma"/>
                <w:sz w:val="16"/>
                <w:szCs w:val="16"/>
              </w:rPr>
              <w:t xml:space="preserve">para comprovação de que a empresa licitante executou serviços de complexidade equivalente ou </w:t>
            </w:r>
            <w:r w:rsidRPr="00780E30">
              <w:rPr>
                <w:rFonts w:cs="Tahoma"/>
                <w:sz w:val="16"/>
                <w:szCs w:val="16"/>
              </w:rPr>
              <w:t>compatível ao objeto dessa licitação, com no mínimo 50% dos itens</w:t>
            </w:r>
            <w:r w:rsidR="00A3486E">
              <w:rPr>
                <w:rFonts w:cs="Tahoma"/>
                <w:sz w:val="16"/>
                <w:szCs w:val="16"/>
              </w:rPr>
              <w:t>/parcela</w:t>
            </w:r>
            <w:r w:rsidRPr="00780E30">
              <w:rPr>
                <w:rFonts w:cs="Tahoma"/>
                <w:sz w:val="16"/>
                <w:szCs w:val="16"/>
              </w:rPr>
              <w:t xml:space="preserve"> de maior relevância. Sendo está uma obra de </w:t>
            </w:r>
            <w:r>
              <w:rPr>
                <w:rFonts w:cs="Tahoma"/>
                <w:sz w:val="16"/>
                <w:szCs w:val="16"/>
              </w:rPr>
              <w:t>re</w:t>
            </w:r>
            <w:r w:rsidRPr="00780E30">
              <w:rPr>
                <w:rFonts w:cs="Tahoma"/>
                <w:sz w:val="16"/>
                <w:szCs w:val="16"/>
              </w:rPr>
              <w:t xml:space="preserve">construção de </w:t>
            </w:r>
            <w:r>
              <w:rPr>
                <w:rFonts w:cs="Tahoma"/>
                <w:sz w:val="16"/>
                <w:szCs w:val="16"/>
              </w:rPr>
              <w:t>ciclovia junto a VRS-863</w:t>
            </w:r>
            <w:r w:rsidRPr="00FB68AF">
              <w:rPr>
                <w:rFonts w:cs="Tahoma"/>
                <w:sz w:val="16"/>
                <w:szCs w:val="16"/>
              </w:rPr>
              <w:t xml:space="preserve">, </w:t>
            </w:r>
            <w:r>
              <w:rPr>
                <w:rFonts w:cs="Tahoma"/>
                <w:sz w:val="16"/>
                <w:szCs w:val="16"/>
              </w:rPr>
              <w:t>denominada Rodovia Paulo Gilberto Altmann conhecida como “Estrada do Perau”</w:t>
            </w:r>
            <w:r w:rsidRPr="00035823">
              <w:rPr>
                <w:rFonts w:cs="Tahoma"/>
                <w:sz w:val="16"/>
                <w:szCs w:val="16"/>
              </w:rPr>
              <w:t>,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FB68AF">
              <w:rPr>
                <w:rFonts w:cs="Tahoma"/>
                <w:sz w:val="16"/>
                <w:szCs w:val="16"/>
              </w:rPr>
              <w:t xml:space="preserve">considera-se </w:t>
            </w:r>
            <w:r w:rsidR="00A3486E">
              <w:rPr>
                <w:rFonts w:cs="Tahoma"/>
                <w:sz w:val="16"/>
                <w:szCs w:val="16"/>
              </w:rPr>
              <w:t>50% d</w:t>
            </w:r>
            <w:r w:rsidRPr="00FB68AF">
              <w:rPr>
                <w:rFonts w:cs="Tahoma"/>
                <w:sz w:val="16"/>
                <w:szCs w:val="16"/>
              </w:rPr>
              <w:t>os itens</w:t>
            </w:r>
            <w:r w:rsidR="00A3486E">
              <w:rPr>
                <w:rFonts w:cs="Tahoma"/>
                <w:sz w:val="16"/>
                <w:szCs w:val="16"/>
              </w:rPr>
              <w:t>/parcelas</w:t>
            </w:r>
            <w:r w:rsidRPr="00FB68AF">
              <w:rPr>
                <w:rFonts w:cs="Tahoma"/>
                <w:sz w:val="16"/>
                <w:szCs w:val="16"/>
              </w:rPr>
              <w:t xml:space="preserve"> de maior relevância:</w:t>
            </w:r>
          </w:p>
          <w:p w14:paraId="1D053B44" w14:textId="37F41C87" w:rsidR="008F7703" w:rsidRPr="00FB68AF" w:rsidRDefault="008F7703" w:rsidP="008F7703">
            <w:pPr>
              <w:pStyle w:val="PargrafodaLista"/>
              <w:numPr>
                <w:ilvl w:val="0"/>
                <w:numId w:val="20"/>
              </w:numPr>
              <w:spacing w:line="276" w:lineRule="auto"/>
              <w:rPr>
                <w:rFonts w:cs="Tahoma"/>
                <w:sz w:val="16"/>
                <w:szCs w:val="16"/>
              </w:rPr>
            </w:pPr>
            <w:r w:rsidRPr="00634E67">
              <w:rPr>
                <w:rFonts w:cs="Tahoma"/>
                <w:sz w:val="16"/>
                <w:szCs w:val="16"/>
              </w:rPr>
              <w:t>Desmonte de blocos de rocha ou matacões</w:t>
            </w:r>
            <w:r w:rsidR="00BB3A46">
              <w:rPr>
                <w:rFonts w:cs="Tahoma"/>
                <w:sz w:val="16"/>
                <w:szCs w:val="16"/>
              </w:rPr>
              <w:t xml:space="preserve"> (escavação de material de 3ª categoria)</w:t>
            </w:r>
            <w:r w:rsidRPr="00634E67">
              <w:rPr>
                <w:rFonts w:cs="Tahoma"/>
                <w:sz w:val="16"/>
                <w:szCs w:val="16"/>
              </w:rPr>
              <w:t>, com volume mínimo de 8.187,6</w:t>
            </w:r>
            <w:r>
              <w:rPr>
                <w:rFonts w:cs="Tahoma"/>
                <w:sz w:val="16"/>
                <w:szCs w:val="16"/>
              </w:rPr>
              <w:t>0</w:t>
            </w:r>
            <w:r w:rsidRPr="00634E67">
              <w:rPr>
                <w:rFonts w:cs="Tahoma"/>
                <w:sz w:val="16"/>
                <w:szCs w:val="16"/>
              </w:rPr>
              <w:t xml:space="preserve"> </w:t>
            </w:r>
            <w:r>
              <w:rPr>
                <w:rFonts w:cs="Tahoma"/>
                <w:sz w:val="16"/>
                <w:szCs w:val="16"/>
              </w:rPr>
              <w:t>m³</w:t>
            </w:r>
            <w:r w:rsidRPr="00FB68AF">
              <w:rPr>
                <w:rFonts w:cs="Tahoma"/>
                <w:sz w:val="16"/>
                <w:szCs w:val="16"/>
              </w:rPr>
              <w:t>;</w:t>
            </w:r>
          </w:p>
          <w:p w14:paraId="6CBF5041" w14:textId="77777777" w:rsidR="008F7703" w:rsidRPr="00FB68AF" w:rsidRDefault="008F7703" w:rsidP="008F7703">
            <w:pPr>
              <w:pStyle w:val="PargrafodaLista"/>
              <w:numPr>
                <w:ilvl w:val="0"/>
                <w:numId w:val="20"/>
              </w:numPr>
              <w:spacing w:line="276" w:lineRule="auto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Execução e Compactação de aterro</w:t>
            </w:r>
            <w:r w:rsidRPr="00FB68AF">
              <w:rPr>
                <w:rFonts w:cs="Tahoma"/>
                <w:sz w:val="16"/>
                <w:szCs w:val="16"/>
              </w:rPr>
              <w:t xml:space="preserve">, com área mínima de </w:t>
            </w:r>
            <w:r>
              <w:rPr>
                <w:rFonts w:cs="Tahoma"/>
                <w:sz w:val="16"/>
                <w:szCs w:val="16"/>
              </w:rPr>
              <w:t>7.753,35</w:t>
            </w:r>
            <w:r w:rsidRPr="00FB68AF">
              <w:rPr>
                <w:rFonts w:cs="Tahoma"/>
                <w:sz w:val="16"/>
                <w:szCs w:val="16"/>
              </w:rPr>
              <w:t xml:space="preserve"> m</w:t>
            </w:r>
            <w:r>
              <w:rPr>
                <w:rFonts w:cs="Tahoma"/>
                <w:sz w:val="16"/>
                <w:szCs w:val="16"/>
              </w:rPr>
              <w:t>³</w:t>
            </w:r>
            <w:r w:rsidRPr="00FB68AF">
              <w:rPr>
                <w:rFonts w:cs="Tahoma"/>
                <w:sz w:val="16"/>
                <w:szCs w:val="16"/>
              </w:rPr>
              <w:t>;</w:t>
            </w:r>
          </w:p>
          <w:p w14:paraId="0276C26E" w14:textId="4CC3BE9A" w:rsidR="008F7703" w:rsidRPr="00FB68AF" w:rsidRDefault="008F7703" w:rsidP="008F7703">
            <w:pPr>
              <w:pStyle w:val="PargrafodaLista"/>
              <w:numPr>
                <w:ilvl w:val="0"/>
                <w:numId w:val="20"/>
              </w:numPr>
              <w:spacing w:line="276" w:lineRule="auto"/>
              <w:rPr>
                <w:rFonts w:cs="Tahoma"/>
                <w:sz w:val="16"/>
                <w:szCs w:val="16"/>
              </w:rPr>
            </w:pPr>
            <w:r w:rsidRPr="00FB68AF">
              <w:rPr>
                <w:rFonts w:cs="Tahoma"/>
                <w:sz w:val="16"/>
                <w:szCs w:val="16"/>
              </w:rPr>
              <w:t xml:space="preserve">Execução de pavimento </w:t>
            </w:r>
            <w:r>
              <w:rPr>
                <w:rFonts w:cs="Tahoma"/>
                <w:sz w:val="16"/>
                <w:szCs w:val="16"/>
              </w:rPr>
              <w:t xml:space="preserve">com aplicação de concreto asfáltico com C.B.U.Q, na quantidade mínima </w:t>
            </w:r>
            <w:r w:rsidRPr="00A3486E">
              <w:rPr>
                <w:rFonts w:cs="Tahoma"/>
                <w:sz w:val="16"/>
                <w:szCs w:val="16"/>
              </w:rPr>
              <w:t>de 59,82m</w:t>
            </w:r>
            <w:r w:rsidR="0090187E" w:rsidRPr="00A3486E">
              <w:rPr>
                <w:rFonts w:cs="Tahoma"/>
                <w:sz w:val="16"/>
                <w:szCs w:val="16"/>
              </w:rPr>
              <w:t>³</w:t>
            </w:r>
            <w:r w:rsidRPr="00A3486E">
              <w:rPr>
                <w:rFonts w:cs="Tahoma"/>
                <w:sz w:val="16"/>
                <w:szCs w:val="16"/>
              </w:rPr>
              <w:t xml:space="preserve"> </w:t>
            </w:r>
            <w:r w:rsidRPr="0090187E">
              <w:rPr>
                <w:rFonts w:cs="Tahoma"/>
                <w:sz w:val="16"/>
                <w:szCs w:val="16"/>
              </w:rPr>
              <w:t>ou 1.196,50m²;</w:t>
            </w:r>
          </w:p>
          <w:p w14:paraId="645203C1" w14:textId="77619AE6" w:rsidR="00BC4DD2" w:rsidRPr="00FB68AF" w:rsidRDefault="008F7703" w:rsidP="00BC4DD2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9F03E6">
              <w:rPr>
                <w:sz w:val="16"/>
                <w:szCs w:val="20"/>
              </w:rPr>
              <w:t xml:space="preserve">▪ Comprovação de Capacidade Técnico-Profissional, mediante apresentação de, no mínimo, </w:t>
            </w:r>
            <w:r w:rsidRPr="009F03E6">
              <w:rPr>
                <w:b/>
                <w:bCs/>
                <w:sz w:val="16"/>
                <w:szCs w:val="20"/>
              </w:rPr>
              <w:t>1 (um)</w:t>
            </w:r>
            <w:r w:rsidR="00BB3A46">
              <w:rPr>
                <w:b/>
                <w:bCs/>
                <w:sz w:val="16"/>
                <w:szCs w:val="20"/>
              </w:rPr>
              <w:t xml:space="preserve"> e no máximo 2 (dois),</w:t>
            </w:r>
            <w:r w:rsidRPr="009F03E6">
              <w:rPr>
                <w:b/>
                <w:bCs/>
                <w:sz w:val="16"/>
                <w:szCs w:val="20"/>
              </w:rPr>
              <w:t xml:space="preserve"> atestado</w:t>
            </w:r>
            <w:r w:rsidRPr="00BC58A3">
              <w:rPr>
                <w:rFonts w:cs="Tahoma"/>
                <w:b/>
                <w:bCs/>
                <w:sz w:val="16"/>
                <w:szCs w:val="16"/>
              </w:rPr>
              <w:t xml:space="preserve"> </w:t>
            </w:r>
            <w:r w:rsidRPr="00FB68AF">
              <w:rPr>
                <w:rFonts w:cs="Tahoma"/>
                <w:b/>
                <w:bCs/>
                <w:sz w:val="16"/>
                <w:szCs w:val="16"/>
                <w:u w:val="single"/>
              </w:rPr>
              <w:t>para cada item de maior</w:t>
            </w:r>
            <w:r>
              <w:rPr>
                <w:rFonts w:cs="Tahoma"/>
                <w:b/>
                <w:bCs/>
                <w:sz w:val="16"/>
                <w:szCs w:val="16"/>
              </w:rPr>
              <w:t xml:space="preserve"> </w:t>
            </w:r>
            <w:r w:rsidRPr="00FB68AF">
              <w:rPr>
                <w:rFonts w:cs="Tahoma"/>
                <w:b/>
                <w:bCs/>
                <w:sz w:val="16"/>
                <w:szCs w:val="16"/>
                <w:u w:val="single"/>
              </w:rPr>
              <w:t>relevância</w:t>
            </w:r>
            <w:r w:rsidRPr="009F03E6">
              <w:rPr>
                <w:sz w:val="16"/>
                <w:szCs w:val="20"/>
              </w:rPr>
              <w:t xml:space="preserve"> fornecido por pessoa jurídica de direito público ou privado, visado pela entidade profissional competente, a</w:t>
            </w:r>
            <w:r w:rsidRPr="009F03E6">
              <w:rPr>
                <w:b/>
                <w:bCs/>
                <w:sz w:val="16"/>
                <w:szCs w:val="20"/>
              </w:rPr>
              <w:t>companhado da Certidão de Acervo Técnico (CAT) da mesma entidade de origem da ART – Anotação de Responsabilidade Técnica ou Certidão de Acervo Técnico com Atestado (CAT-</w:t>
            </w:r>
            <w:r w:rsidRPr="00FB54AA">
              <w:rPr>
                <w:b/>
                <w:bCs/>
                <w:sz w:val="16"/>
                <w:szCs w:val="20"/>
              </w:rPr>
              <w:t xml:space="preserve">A) da mesma entidade de origem da RRT – Registro de </w:t>
            </w:r>
            <w:r w:rsidRPr="00FB54AA">
              <w:rPr>
                <w:b/>
                <w:bCs/>
                <w:sz w:val="16"/>
                <w:szCs w:val="20"/>
              </w:rPr>
              <w:lastRenderedPageBreak/>
              <w:t xml:space="preserve">Responsabilidade Técnica </w:t>
            </w:r>
            <w:r w:rsidR="00BC4DD2" w:rsidRPr="00BC58A3">
              <w:rPr>
                <w:rFonts w:cs="Tahoma"/>
                <w:sz w:val="16"/>
                <w:szCs w:val="16"/>
              </w:rPr>
              <w:t xml:space="preserve">para comprovação de que a empresa licitante executou serviços de complexidade equivalente ou </w:t>
            </w:r>
            <w:r w:rsidR="00BC4DD2" w:rsidRPr="00780E30">
              <w:rPr>
                <w:rFonts w:cs="Tahoma"/>
                <w:sz w:val="16"/>
                <w:szCs w:val="16"/>
              </w:rPr>
              <w:t>compatível ao objeto dessa licitação, com no mínimo 50% dos itens</w:t>
            </w:r>
            <w:r w:rsidR="00BC4DD2">
              <w:rPr>
                <w:rFonts w:cs="Tahoma"/>
                <w:sz w:val="16"/>
                <w:szCs w:val="16"/>
              </w:rPr>
              <w:t>/parcela</w:t>
            </w:r>
            <w:r w:rsidR="00BC4DD2" w:rsidRPr="00780E30">
              <w:rPr>
                <w:rFonts w:cs="Tahoma"/>
                <w:sz w:val="16"/>
                <w:szCs w:val="16"/>
              </w:rPr>
              <w:t xml:space="preserve"> de maior relevância. Sendo está uma obra de </w:t>
            </w:r>
            <w:r w:rsidR="00BC4DD2">
              <w:rPr>
                <w:rFonts w:cs="Tahoma"/>
                <w:sz w:val="16"/>
                <w:szCs w:val="16"/>
              </w:rPr>
              <w:t>re</w:t>
            </w:r>
            <w:r w:rsidR="00BC4DD2" w:rsidRPr="00780E30">
              <w:rPr>
                <w:rFonts w:cs="Tahoma"/>
                <w:sz w:val="16"/>
                <w:szCs w:val="16"/>
              </w:rPr>
              <w:t xml:space="preserve">construção de </w:t>
            </w:r>
            <w:r w:rsidR="00BC4DD2">
              <w:rPr>
                <w:rFonts w:cs="Tahoma"/>
                <w:sz w:val="16"/>
                <w:szCs w:val="16"/>
              </w:rPr>
              <w:t>ciclovia junto a VRS-863</w:t>
            </w:r>
            <w:r w:rsidR="00BC4DD2" w:rsidRPr="00FB68AF">
              <w:rPr>
                <w:rFonts w:cs="Tahoma"/>
                <w:sz w:val="16"/>
                <w:szCs w:val="16"/>
              </w:rPr>
              <w:t xml:space="preserve">, </w:t>
            </w:r>
            <w:r w:rsidR="00BC4DD2">
              <w:rPr>
                <w:rFonts w:cs="Tahoma"/>
                <w:sz w:val="16"/>
                <w:szCs w:val="16"/>
              </w:rPr>
              <w:t>denominada Rodovia Paulo Gilberto Altmann conhecida como “Estrada do Perau”</w:t>
            </w:r>
            <w:r w:rsidR="00BC4DD2" w:rsidRPr="00035823">
              <w:rPr>
                <w:rFonts w:cs="Tahoma"/>
                <w:sz w:val="16"/>
                <w:szCs w:val="16"/>
              </w:rPr>
              <w:t>,</w:t>
            </w:r>
            <w:r w:rsidR="00BC4DD2">
              <w:rPr>
                <w:rFonts w:cs="Tahoma"/>
                <w:sz w:val="16"/>
                <w:szCs w:val="16"/>
              </w:rPr>
              <w:t xml:space="preserve"> </w:t>
            </w:r>
            <w:r w:rsidR="00BC4DD2" w:rsidRPr="00FB68AF">
              <w:rPr>
                <w:rFonts w:cs="Tahoma"/>
                <w:sz w:val="16"/>
                <w:szCs w:val="16"/>
              </w:rPr>
              <w:t xml:space="preserve">considera-se </w:t>
            </w:r>
            <w:r w:rsidR="00BC4DD2">
              <w:rPr>
                <w:rFonts w:cs="Tahoma"/>
                <w:sz w:val="16"/>
                <w:szCs w:val="16"/>
              </w:rPr>
              <w:t>50% d</w:t>
            </w:r>
            <w:r w:rsidR="00BC4DD2" w:rsidRPr="00FB68AF">
              <w:rPr>
                <w:rFonts w:cs="Tahoma"/>
                <w:sz w:val="16"/>
                <w:szCs w:val="16"/>
              </w:rPr>
              <w:t>os itens</w:t>
            </w:r>
            <w:r w:rsidR="00BC4DD2">
              <w:rPr>
                <w:rFonts w:cs="Tahoma"/>
                <w:sz w:val="16"/>
                <w:szCs w:val="16"/>
              </w:rPr>
              <w:t>/parcelas</w:t>
            </w:r>
            <w:r w:rsidR="00BC4DD2" w:rsidRPr="00FB68AF">
              <w:rPr>
                <w:rFonts w:cs="Tahoma"/>
                <w:sz w:val="16"/>
                <w:szCs w:val="16"/>
              </w:rPr>
              <w:t xml:space="preserve"> de maior relevância:</w:t>
            </w:r>
          </w:p>
          <w:p w14:paraId="3966F4DB" w14:textId="3708CCE3" w:rsidR="00BC4DD2" w:rsidRPr="00FB68AF" w:rsidRDefault="00BC4DD2" w:rsidP="00BC4DD2">
            <w:pPr>
              <w:pStyle w:val="PargrafodaLista"/>
              <w:numPr>
                <w:ilvl w:val="0"/>
                <w:numId w:val="20"/>
              </w:numPr>
              <w:spacing w:line="276" w:lineRule="auto"/>
              <w:rPr>
                <w:rFonts w:cs="Tahoma"/>
                <w:sz w:val="16"/>
                <w:szCs w:val="16"/>
              </w:rPr>
            </w:pPr>
            <w:r w:rsidRPr="00634E67">
              <w:rPr>
                <w:rFonts w:cs="Tahoma"/>
                <w:sz w:val="16"/>
                <w:szCs w:val="16"/>
              </w:rPr>
              <w:t>Desmonte de blocos de rocha ou matacões</w:t>
            </w:r>
            <w:r w:rsidR="00BB3A46">
              <w:rPr>
                <w:rFonts w:cs="Tahoma"/>
                <w:sz w:val="16"/>
                <w:szCs w:val="16"/>
              </w:rPr>
              <w:t xml:space="preserve"> (escavação de material de 3ª categoria)</w:t>
            </w:r>
            <w:r w:rsidRPr="00634E67">
              <w:rPr>
                <w:rFonts w:cs="Tahoma"/>
                <w:sz w:val="16"/>
                <w:szCs w:val="16"/>
              </w:rPr>
              <w:t>, com volume mínimo de 8.187,6</w:t>
            </w:r>
            <w:r>
              <w:rPr>
                <w:rFonts w:cs="Tahoma"/>
                <w:sz w:val="16"/>
                <w:szCs w:val="16"/>
              </w:rPr>
              <w:t>0</w:t>
            </w:r>
            <w:r w:rsidRPr="00634E67">
              <w:rPr>
                <w:rFonts w:cs="Tahoma"/>
                <w:sz w:val="16"/>
                <w:szCs w:val="16"/>
              </w:rPr>
              <w:t xml:space="preserve"> </w:t>
            </w:r>
            <w:r>
              <w:rPr>
                <w:rFonts w:cs="Tahoma"/>
                <w:sz w:val="16"/>
                <w:szCs w:val="16"/>
              </w:rPr>
              <w:t>m³</w:t>
            </w:r>
            <w:r w:rsidRPr="00FB68AF">
              <w:rPr>
                <w:rFonts w:cs="Tahoma"/>
                <w:sz w:val="16"/>
                <w:szCs w:val="16"/>
              </w:rPr>
              <w:t>;</w:t>
            </w:r>
          </w:p>
          <w:p w14:paraId="3DCC450F" w14:textId="77777777" w:rsidR="00BC4DD2" w:rsidRPr="00FB68AF" w:rsidRDefault="00BC4DD2" w:rsidP="00BC4DD2">
            <w:pPr>
              <w:pStyle w:val="PargrafodaLista"/>
              <w:numPr>
                <w:ilvl w:val="0"/>
                <w:numId w:val="20"/>
              </w:numPr>
              <w:spacing w:line="276" w:lineRule="auto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Execução e Compactação de aterro</w:t>
            </w:r>
            <w:r w:rsidRPr="00FB68AF">
              <w:rPr>
                <w:rFonts w:cs="Tahoma"/>
                <w:sz w:val="16"/>
                <w:szCs w:val="16"/>
              </w:rPr>
              <w:t xml:space="preserve">, com área mínima de </w:t>
            </w:r>
            <w:r>
              <w:rPr>
                <w:rFonts w:cs="Tahoma"/>
                <w:sz w:val="16"/>
                <w:szCs w:val="16"/>
              </w:rPr>
              <w:t>7.753,35</w:t>
            </w:r>
            <w:r w:rsidRPr="00FB68AF">
              <w:rPr>
                <w:rFonts w:cs="Tahoma"/>
                <w:sz w:val="16"/>
                <w:szCs w:val="16"/>
              </w:rPr>
              <w:t xml:space="preserve"> m</w:t>
            </w:r>
            <w:r>
              <w:rPr>
                <w:rFonts w:cs="Tahoma"/>
                <w:sz w:val="16"/>
                <w:szCs w:val="16"/>
              </w:rPr>
              <w:t>³</w:t>
            </w:r>
            <w:r w:rsidRPr="00FB68AF">
              <w:rPr>
                <w:rFonts w:cs="Tahoma"/>
                <w:sz w:val="16"/>
                <w:szCs w:val="16"/>
              </w:rPr>
              <w:t>;</w:t>
            </w:r>
          </w:p>
          <w:p w14:paraId="60821F92" w14:textId="77777777" w:rsidR="00BC4DD2" w:rsidRPr="00FB68AF" w:rsidRDefault="00BC4DD2" w:rsidP="00BC4DD2">
            <w:pPr>
              <w:pStyle w:val="PargrafodaLista"/>
              <w:numPr>
                <w:ilvl w:val="0"/>
                <w:numId w:val="20"/>
              </w:numPr>
              <w:spacing w:line="276" w:lineRule="auto"/>
              <w:rPr>
                <w:rFonts w:cs="Tahoma"/>
                <w:sz w:val="16"/>
                <w:szCs w:val="16"/>
              </w:rPr>
            </w:pPr>
            <w:r w:rsidRPr="00FB68AF">
              <w:rPr>
                <w:rFonts w:cs="Tahoma"/>
                <w:sz w:val="16"/>
                <w:szCs w:val="16"/>
              </w:rPr>
              <w:t xml:space="preserve">Execução de pavimento </w:t>
            </w:r>
            <w:r>
              <w:rPr>
                <w:rFonts w:cs="Tahoma"/>
                <w:sz w:val="16"/>
                <w:szCs w:val="16"/>
              </w:rPr>
              <w:t xml:space="preserve">com aplicação de concreto asfáltico com C.B.U.Q, na quantidade mínima </w:t>
            </w:r>
            <w:r w:rsidRPr="00A3486E">
              <w:rPr>
                <w:rFonts w:cs="Tahoma"/>
                <w:sz w:val="16"/>
                <w:szCs w:val="16"/>
              </w:rPr>
              <w:t xml:space="preserve">de 59,82m³ </w:t>
            </w:r>
            <w:r w:rsidRPr="0090187E">
              <w:rPr>
                <w:rFonts w:cs="Tahoma"/>
                <w:sz w:val="16"/>
                <w:szCs w:val="16"/>
              </w:rPr>
              <w:t>ou 1.196,50m²;</w:t>
            </w:r>
          </w:p>
          <w:p w14:paraId="21E61585" w14:textId="48B09882" w:rsidR="008F7703" w:rsidRDefault="008F7703" w:rsidP="008F7703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BC58A3">
              <w:rPr>
                <w:rFonts w:cs="Tahoma"/>
                <w:sz w:val="16"/>
                <w:szCs w:val="16"/>
              </w:rPr>
              <w:t>▪</w:t>
            </w:r>
            <w:r>
              <w:rPr>
                <w:rFonts w:cs="Tahoma"/>
                <w:sz w:val="16"/>
                <w:szCs w:val="16"/>
              </w:rPr>
              <w:t xml:space="preserve"> Devido a amplitude e principalmente, a complexidade desta obra, será aceito o somatório máximo de dois atestados para a comprovação das quantidades mínimas solicitadas em cada item acima;</w:t>
            </w:r>
          </w:p>
          <w:p w14:paraId="39D79B14" w14:textId="1F651EAA" w:rsidR="002D3718" w:rsidRDefault="002D3718" w:rsidP="008F7703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</w:p>
          <w:p w14:paraId="055635C8" w14:textId="7D14F444" w:rsidR="002D3718" w:rsidRDefault="002D3718" w:rsidP="008F7703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BC58A3">
              <w:rPr>
                <w:rFonts w:cs="Tahoma"/>
                <w:sz w:val="16"/>
                <w:szCs w:val="16"/>
              </w:rPr>
              <w:t>▪</w:t>
            </w:r>
            <w:r>
              <w:rPr>
                <w:rFonts w:cs="Tahoma"/>
                <w:sz w:val="16"/>
                <w:szCs w:val="16"/>
              </w:rPr>
              <w:t xml:space="preserve"> É vedada a participação de consórcios nesta licitação. </w:t>
            </w:r>
            <w:r w:rsidRPr="002D3718">
              <w:rPr>
                <w:rFonts w:cs="Tahoma"/>
                <w:sz w:val="16"/>
                <w:szCs w:val="16"/>
              </w:rPr>
              <w:t>A vedação à participação de consórcios nesta licitação fundamenta-se na elevada complexidade técnica e na natureza integrada do objeto, que envolve desmonte controlado de maciço rochoso com uso de explosivos, readequação do eixo viário, execução de enrocamento estrutural, drenagem, pavimentação em CBUQ e sinalização, atividades interdependentes que exigem comando técnico único, coordenação operacional centralizada e responsabilidade integral pela execução. A participação consorciada poderia comprometer a eficiência da gestão contratual, a agilidade na tomada de decisões técnicas e a segurança da obra, especialmente em etapas críticas, aumentando o risco de atrasos, conflitos de responsabilidade e prejuízos ao interesse público</w:t>
            </w:r>
            <w:r w:rsidR="0005008F">
              <w:rPr>
                <w:rFonts w:cs="Tahoma"/>
                <w:sz w:val="16"/>
                <w:szCs w:val="16"/>
              </w:rPr>
              <w:t>;</w:t>
            </w:r>
          </w:p>
          <w:p w14:paraId="21AA4AEC" w14:textId="77777777" w:rsidR="008C3A2F" w:rsidRDefault="008C3A2F" w:rsidP="008F7703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</w:p>
          <w:p w14:paraId="68036420" w14:textId="3CCC80A6" w:rsidR="00476A34" w:rsidRDefault="008C3A2F" w:rsidP="008C3A2F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BC58A3">
              <w:rPr>
                <w:rFonts w:cs="Tahoma"/>
                <w:sz w:val="16"/>
                <w:szCs w:val="16"/>
              </w:rPr>
              <w:t>▪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="008229C5" w:rsidRPr="00B149BB">
              <w:rPr>
                <w:rFonts w:cs="Tahoma"/>
                <w:sz w:val="16"/>
                <w:szCs w:val="16"/>
              </w:rPr>
              <w:t>A empresa CONTRATADA deverá possuir o total conhecimento dos projetos básicos e complementares, detalhes construtivos, normas de trabalho e demais documentaç</w:t>
            </w:r>
            <w:r w:rsidR="00291F02" w:rsidRPr="00B149BB">
              <w:rPr>
                <w:rFonts w:cs="Tahoma"/>
                <w:sz w:val="16"/>
                <w:szCs w:val="16"/>
              </w:rPr>
              <w:t>ões</w:t>
            </w:r>
            <w:r w:rsidR="008229C5" w:rsidRPr="00B149BB">
              <w:rPr>
                <w:rFonts w:cs="Tahoma"/>
                <w:sz w:val="16"/>
                <w:szCs w:val="16"/>
              </w:rPr>
              <w:t xml:space="preserve"> técnica</w:t>
            </w:r>
            <w:r w:rsidR="00291F02" w:rsidRPr="00B149BB">
              <w:rPr>
                <w:rFonts w:cs="Tahoma"/>
                <w:sz w:val="16"/>
                <w:szCs w:val="16"/>
              </w:rPr>
              <w:t>s</w:t>
            </w:r>
            <w:r w:rsidR="008229C5" w:rsidRPr="00B149BB">
              <w:rPr>
                <w:rFonts w:cs="Tahoma"/>
                <w:sz w:val="16"/>
                <w:szCs w:val="16"/>
              </w:rPr>
              <w:t xml:space="preserve"> que </w:t>
            </w:r>
            <w:r w:rsidR="00291F02" w:rsidRPr="00B149BB">
              <w:rPr>
                <w:rFonts w:cs="Tahoma"/>
                <w:sz w:val="16"/>
                <w:szCs w:val="16"/>
              </w:rPr>
              <w:t>integrantes</w:t>
            </w:r>
            <w:r w:rsidR="008229C5" w:rsidRPr="00B149BB">
              <w:rPr>
                <w:rFonts w:cs="Tahoma"/>
                <w:sz w:val="16"/>
                <w:szCs w:val="16"/>
              </w:rPr>
              <w:t xml:space="preserve"> </w:t>
            </w:r>
            <w:r w:rsidR="00291F02" w:rsidRPr="00B149BB">
              <w:rPr>
                <w:rFonts w:cs="Tahoma"/>
                <w:sz w:val="16"/>
                <w:szCs w:val="16"/>
              </w:rPr>
              <w:t>d</w:t>
            </w:r>
            <w:r w:rsidR="008229C5" w:rsidRPr="00B149BB">
              <w:rPr>
                <w:rFonts w:cs="Tahoma"/>
                <w:sz w:val="16"/>
                <w:szCs w:val="16"/>
              </w:rPr>
              <w:t>os mesmos, inclusive, deve também providenciar cópias físicas, às suas custas, dos documentos/plantas necessários para sua utilização em obra</w:t>
            </w:r>
            <w:r>
              <w:rPr>
                <w:rFonts w:cs="Tahoma"/>
                <w:sz w:val="16"/>
                <w:szCs w:val="16"/>
              </w:rPr>
              <w:t>;</w:t>
            </w:r>
          </w:p>
          <w:p w14:paraId="0C70453D" w14:textId="77777777" w:rsidR="008C3A2F" w:rsidRDefault="008C3A2F" w:rsidP="008C3A2F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</w:p>
          <w:p w14:paraId="11112797" w14:textId="502FBCBE" w:rsidR="008C3A2F" w:rsidRPr="00B149BB" w:rsidRDefault="008C3A2F" w:rsidP="008C3A2F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BC58A3">
              <w:rPr>
                <w:rFonts w:cs="Tahoma"/>
                <w:sz w:val="16"/>
                <w:szCs w:val="16"/>
              </w:rPr>
              <w:t>▪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236FB8">
              <w:rPr>
                <w:rFonts w:cs="Tahoma"/>
                <w:sz w:val="16"/>
                <w:szCs w:val="16"/>
              </w:rPr>
              <w:t xml:space="preserve">A </w:t>
            </w:r>
            <w:r>
              <w:rPr>
                <w:rFonts w:cs="Tahoma"/>
                <w:sz w:val="16"/>
                <w:szCs w:val="16"/>
              </w:rPr>
              <w:t>proposta vencedora</w:t>
            </w:r>
            <w:r w:rsidRPr="00236FB8">
              <w:rPr>
                <w:rFonts w:cs="Tahoma"/>
                <w:sz w:val="16"/>
                <w:szCs w:val="16"/>
              </w:rPr>
              <w:t xml:space="preserve"> deverá respeitar os percentuais de mat</w:t>
            </w:r>
            <w:r>
              <w:rPr>
                <w:rFonts w:cs="Tahoma"/>
                <w:sz w:val="16"/>
                <w:szCs w:val="16"/>
              </w:rPr>
              <w:t xml:space="preserve">erial </w:t>
            </w:r>
            <w:r w:rsidRPr="00236FB8">
              <w:rPr>
                <w:rFonts w:cs="Tahoma"/>
                <w:sz w:val="16"/>
                <w:szCs w:val="16"/>
              </w:rPr>
              <w:t>e mão de obra definidos pelo projetista. Caso a empresa entenda que este percentual deve ser diferente, a mesma deverá enviar juntamente com a proposta as</w:t>
            </w:r>
            <w:r>
              <w:rPr>
                <w:rFonts w:cs="Tahoma"/>
                <w:sz w:val="16"/>
                <w:szCs w:val="16"/>
              </w:rPr>
              <w:t xml:space="preserve"> devidas</w:t>
            </w:r>
            <w:r w:rsidRPr="00236FB8">
              <w:rPr>
                <w:rFonts w:cs="Tahoma"/>
                <w:sz w:val="16"/>
                <w:szCs w:val="16"/>
              </w:rPr>
              <w:t xml:space="preserve"> comprovações</w:t>
            </w:r>
            <w:r>
              <w:rPr>
                <w:rFonts w:cs="Tahoma"/>
                <w:sz w:val="16"/>
                <w:szCs w:val="16"/>
              </w:rPr>
              <w:t xml:space="preserve"> e justificativas;</w:t>
            </w:r>
          </w:p>
          <w:p w14:paraId="4C0258B0" w14:textId="77777777" w:rsidR="008C3A2F" w:rsidRPr="00B149BB" w:rsidRDefault="008C3A2F" w:rsidP="008C3A2F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</w:p>
          <w:p w14:paraId="72F18917" w14:textId="5C4F7FAC" w:rsidR="008F7703" w:rsidRDefault="008C3A2F" w:rsidP="008C3A2F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BC58A3">
              <w:rPr>
                <w:rFonts w:cs="Tahoma"/>
                <w:sz w:val="16"/>
                <w:szCs w:val="16"/>
              </w:rPr>
              <w:t>▪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="008229C5" w:rsidRPr="00B149BB">
              <w:rPr>
                <w:rFonts w:cs="Tahoma"/>
                <w:sz w:val="16"/>
                <w:szCs w:val="16"/>
              </w:rPr>
              <w:t>Executar todos os serviços de acordo com o Edital, a Proposta Final, as normas da ABNT aplicáveis e as especificações técnicas constantes nos documentos inerentes a este certame, anexos, projetos, memorial descritivo, cronograma físico financeiro e demais documentações, como se aqui estivessem integrais e expressamente reproduzidos, dando andamento aos serviços de modo a permitir que sejam cumpridos, rigorosa e integralmente, o cronograma e o prazo de entrega da obra</w:t>
            </w:r>
            <w:r w:rsidR="00FE5DE0" w:rsidRPr="00B149BB">
              <w:rPr>
                <w:rFonts w:cs="Tahoma"/>
                <w:sz w:val="16"/>
                <w:szCs w:val="16"/>
              </w:rPr>
              <w:t>.</w:t>
            </w:r>
          </w:p>
          <w:p w14:paraId="0E089D6B" w14:textId="77777777" w:rsidR="008F7703" w:rsidRPr="00201B7C" w:rsidRDefault="008F7703" w:rsidP="008F7703">
            <w:pPr>
              <w:pStyle w:val="NormalWeb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BC58A3">
              <w:rPr>
                <w:rFonts w:cs="Tahoma"/>
                <w:sz w:val="16"/>
                <w:szCs w:val="16"/>
              </w:rPr>
              <w:t>▪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A empresa contratada deverá apresentar, no prazo máximo de </w:t>
            </w:r>
            <w:r w:rsidRPr="00201B7C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>10 (dez) dias úteis após a assinatura do contrato</w:t>
            </w: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, os seguintes documentos técnicos</w:t>
            </w:r>
            <w: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 para aprovação da fiscalização</w:t>
            </w: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, como condição prévia para o início dos serviços de desmonte de rocha:</w:t>
            </w:r>
          </w:p>
          <w:p w14:paraId="7B8BD17B" w14:textId="77777777" w:rsidR="008F7703" w:rsidRPr="00201B7C" w:rsidRDefault="008F7703" w:rsidP="008F7703">
            <w:pPr>
              <w:pStyle w:val="NormalWeb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a) </w:t>
            </w:r>
            <w:r w:rsidRPr="00201B7C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>Plano de Detonação</w:t>
            </w: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, elaborado por profissional legalmente habilitado, contendo no mínimo:</w:t>
            </w:r>
          </w:p>
          <w:p w14:paraId="3DF0640E" w14:textId="77777777" w:rsidR="008F7703" w:rsidRDefault="008F7703" w:rsidP="008F7703">
            <w:pPr>
              <w:pStyle w:val="NormalWeb"/>
              <w:numPr>
                <w:ilvl w:val="0"/>
                <w:numId w:val="21"/>
              </w:numP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Caracterização da área de intervenção;</w:t>
            </w:r>
          </w:p>
          <w:p w14:paraId="4A3B370A" w14:textId="77777777" w:rsidR="008F7703" w:rsidRPr="00201B7C" w:rsidRDefault="008F7703" w:rsidP="008F7703">
            <w:pPr>
              <w:pStyle w:val="NormalWeb"/>
              <w:numPr>
                <w:ilvl w:val="0"/>
                <w:numId w:val="21"/>
              </w:numP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Volume estimado de Material a ser desmontado; </w:t>
            </w:r>
          </w:p>
          <w:p w14:paraId="5CBB5F2F" w14:textId="77777777" w:rsidR="008F7703" w:rsidRPr="00201B7C" w:rsidRDefault="008F7703" w:rsidP="008F7703">
            <w:pPr>
              <w:pStyle w:val="NormalWeb"/>
              <w:numPr>
                <w:ilvl w:val="0"/>
                <w:numId w:val="21"/>
              </w:numP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Metodologia de desmonte a ser utilizada;</w:t>
            </w:r>
          </w:p>
          <w:p w14:paraId="1B3F8523" w14:textId="77777777" w:rsidR="008F7703" w:rsidRPr="00201B7C" w:rsidRDefault="008F7703" w:rsidP="008F7703">
            <w:pPr>
              <w:pStyle w:val="NormalWeb"/>
              <w:numPr>
                <w:ilvl w:val="0"/>
                <w:numId w:val="21"/>
              </w:numP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Quantificação e tipologia dos explosivos;</w:t>
            </w:r>
          </w:p>
          <w:p w14:paraId="6EE35B3D" w14:textId="77777777" w:rsidR="008F7703" w:rsidRPr="00201B7C" w:rsidRDefault="008F7703" w:rsidP="008F7703">
            <w:pPr>
              <w:pStyle w:val="NormalWeb"/>
              <w:numPr>
                <w:ilvl w:val="0"/>
                <w:numId w:val="21"/>
              </w:numP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Sequência e cronograma das detonações;</w:t>
            </w:r>
          </w:p>
          <w:p w14:paraId="233036F6" w14:textId="77777777" w:rsidR="008F7703" w:rsidRPr="00201B7C" w:rsidRDefault="008F7703" w:rsidP="008F7703">
            <w:pPr>
              <w:pStyle w:val="NormalWeb"/>
              <w:numPr>
                <w:ilvl w:val="0"/>
                <w:numId w:val="21"/>
              </w:numP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Medidas de segurança coletiva e individual;</w:t>
            </w:r>
          </w:p>
          <w:p w14:paraId="0BB94254" w14:textId="77777777" w:rsidR="008F7703" w:rsidRPr="00201B7C" w:rsidRDefault="008F7703" w:rsidP="008F7703">
            <w:pPr>
              <w:pStyle w:val="NormalWeb"/>
              <w:numPr>
                <w:ilvl w:val="0"/>
                <w:numId w:val="21"/>
              </w:numP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Procedimentos de controle de vibração, ruído e projeção de fragmentos;</w:t>
            </w:r>
          </w:p>
          <w:p w14:paraId="5D324484" w14:textId="77777777" w:rsidR="008F7703" w:rsidRPr="00201B7C" w:rsidRDefault="008F7703" w:rsidP="008F7703">
            <w:pPr>
              <w:pStyle w:val="NormalWeb"/>
              <w:numPr>
                <w:ilvl w:val="0"/>
                <w:numId w:val="21"/>
              </w:numP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Plano de evacuação e isolamento da área;</w:t>
            </w:r>
          </w:p>
          <w:p w14:paraId="6C7B580A" w14:textId="77777777" w:rsidR="008F7703" w:rsidRDefault="008F7703" w:rsidP="008F7703">
            <w:pPr>
              <w:pStyle w:val="NormalWeb"/>
              <w:numPr>
                <w:ilvl w:val="0"/>
                <w:numId w:val="21"/>
              </w:numP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Atendimento às normas técnicas, ambientais e de segurança aplicáveis.</w:t>
            </w:r>
          </w:p>
          <w:p w14:paraId="52ED5A8A" w14:textId="77777777" w:rsidR="008F7703" w:rsidRDefault="008F7703" w:rsidP="008F7703">
            <w:pPr>
              <w:pStyle w:val="NormalWeb"/>
              <w:numPr>
                <w:ilvl w:val="0"/>
                <w:numId w:val="21"/>
              </w:numP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Laudo Fotográfico e descritivo da residência próxima ao local de detonação;</w:t>
            </w:r>
          </w:p>
          <w:p w14:paraId="76B730FA" w14:textId="77777777" w:rsidR="008F7703" w:rsidRPr="00201B7C" w:rsidRDefault="008F7703" w:rsidP="008F7703">
            <w:pPr>
              <w:pStyle w:val="NormalWeb"/>
              <w:numPr>
                <w:ilvl w:val="0"/>
                <w:numId w:val="21"/>
              </w:numP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Prever a realização de monitoramento sismográfico durante as detonações, com emissão de relatórios técnicos;</w:t>
            </w:r>
          </w:p>
          <w:p w14:paraId="6CDEE6A5" w14:textId="77777777" w:rsidR="008F7703" w:rsidRPr="00201B7C" w:rsidRDefault="008F7703" w:rsidP="008F7703">
            <w:pPr>
              <w:pStyle w:val="NormalWeb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b) </w:t>
            </w:r>
            <w:r w:rsidRPr="00201B7C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>ART – Anotação de Responsabilidade Técnica</w:t>
            </w: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 específica, registrada no CREA, vinculada ao Plano de Detonação</w:t>
            </w:r>
            <w: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 e de Execução</w:t>
            </w: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.</w:t>
            </w:r>
          </w:p>
          <w:p w14:paraId="3E4343A6" w14:textId="77777777" w:rsidR="008F7703" w:rsidRPr="00201B7C" w:rsidRDefault="008F7703" w:rsidP="008F7703">
            <w:pPr>
              <w:pStyle w:val="NormalWeb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c) </w:t>
            </w:r>
            <w:r w:rsidRPr="00201B7C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>Plano de Execução da Detonação</w:t>
            </w: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, contendo:</w:t>
            </w:r>
          </w:p>
          <w:p w14:paraId="35870CF3" w14:textId="77777777" w:rsidR="008F7703" w:rsidRPr="00201B7C" w:rsidRDefault="008F7703" w:rsidP="008F7703">
            <w:pPr>
              <w:pStyle w:val="NormalWeb"/>
              <w:numPr>
                <w:ilvl w:val="0"/>
                <w:numId w:val="22"/>
              </w:numP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Planejamento operacional detalhado da detonação;</w:t>
            </w:r>
          </w:p>
          <w:p w14:paraId="1908915C" w14:textId="278B6E01" w:rsidR="008F7703" w:rsidRPr="00201B7C" w:rsidRDefault="008F7703" w:rsidP="008F7703">
            <w:pPr>
              <w:pStyle w:val="NormalWeb"/>
              <w:numPr>
                <w:ilvl w:val="0"/>
                <w:numId w:val="22"/>
              </w:numP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Definição do</w:t>
            </w:r>
            <w: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s dia</w:t>
            </w: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s</w:t>
            </w:r>
            <w: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 e </w:t>
            </w: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horários de execução</w:t>
            </w:r>
            <w: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, com início e fim</w:t>
            </w:r>
            <w:r w:rsidR="002323F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 d</w:t>
            </w:r>
            <w: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o plano </w:t>
            </w: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;</w:t>
            </w:r>
          </w:p>
          <w:p w14:paraId="78BD2A0B" w14:textId="77777777" w:rsidR="008F7703" w:rsidRPr="00201B7C" w:rsidRDefault="008F7703" w:rsidP="008F7703">
            <w:pPr>
              <w:pStyle w:val="NormalWeb"/>
              <w:numPr>
                <w:ilvl w:val="0"/>
                <w:numId w:val="22"/>
              </w:numP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201B7C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>Delimitação clara da área de interdição e liberação da pista</w:t>
            </w: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;</w:t>
            </w:r>
          </w:p>
          <w:p w14:paraId="0C02EDF9" w14:textId="77777777" w:rsidR="008F7703" w:rsidRPr="00201B7C" w:rsidRDefault="008F7703" w:rsidP="008F7703">
            <w:pPr>
              <w:pStyle w:val="NormalWeb"/>
              <w:numPr>
                <w:ilvl w:val="0"/>
                <w:numId w:val="22"/>
              </w:numP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Procedimentos de limpeza, remoção de material, inspeção e liberação ao tráfego;</w:t>
            </w:r>
          </w:p>
          <w:p w14:paraId="6770143D" w14:textId="77777777" w:rsidR="008F7703" w:rsidRPr="00201B7C" w:rsidRDefault="008F7703" w:rsidP="008F7703">
            <w:pPr>
              <w:pStyle w:val="NormalWeb"/>
              <w:numPr>
                <w:ilvl w:val="0"/>
                <w:numId w:val="22"/>
              </w:numP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201B7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Estratégia para recomposição imediata das condições mínimas de segurança viária.</w:t>
            </w:r>
          </w:p>
          <w:p w14:paraId="51C55D7F" w14:textId="77777777" w:rsidR="008F7703" w:rsidRPr="004E38E8" w:rsidRDefault="008F7703" w:rsidP="008F7703">
            <w:pPr>
              <w:pStyle w:val="NormalWeb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BC58A3">
              <w:rPr>
                <w:rFonts w:cs="Tahoma"/>
                <w:sz w:val="16"/>
                <w:szCs w:val="16"/>
              </w:rPr>
              <w:t>▪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4E38E8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A contratada deverá garantir que, após cada detonação realizada, a </w:t>
            </w:r>
            <w:r w:rsidRPr="004E38E8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>pista de rolamento seja totalmente liberada ao tráfego em até 04 (quatro) horas</w:t>
            </w:r>
            <w:r w:rsidRPr="004E38E8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, contadas a partir do término da explosão, incluindo:</w:t>
            </w:r>
          </w:p>
          <w:p w14:paraId="1BA0BC36" w14:textId="77777777" w:rsidR="008F7703" w:rsidRPr="004E38E8" w:rsidRDefault="008F7703" w:rsidP="008F7703">
            <w:pPr>
              <w:pStyle w:val="NormalWeb"/>
              <w:numPr>
                <w:ilvl w:val="0"/>
                <w:numId w:val="23"/>
              </w:numP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4E38E8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Limpeza da pista;</w:t>
            </w:r>
          </w:p>
          <w:p w14:paraId="00612CC0" w14:textId="77777777" w:rsidR="008F7703" w:rsidRPr="004E38E8" w:rsidRDefault="008F7703" w:rsidP="008F7703">
            <w:pPr>
              <w:pStyle w:val="NormalWeb"/>
              <w:numPr>
                <w:ilvl w:val="0"/>
                <w:numId w:val="23"/>
              </w:numP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4E38E8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Remoção de fragmentos rochosos;</w:t>
            </w:r>
          </w:p>
          <w:p w14:paraId="2AFE8004" w14:textId="77777777" w:rsidR="008F7703" w:rsidRPr="004E38E8" w:rsidRDefault="008F7703" w:rsidP="008F7703">
            <w:pPr>
              <w:pStyle w:val="NormalWeb"/>
              <w:numPr>
                <w:ilvl w:val="0"/>
                <w:numId w:val="23"/>
              </w:numP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4E38E8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lastRenderedPageBreak/>
              <w:t>Verificação das condições de segurança;</w:t>
            </w:r>
          </w:p>
          <w:p w14:paraId="0081F120" w14:textId="77777777" w:rsidR="008F7703" w:rsidRPr="004E38E8" w:rsidRDefault="008F7703" w:rsidP="008F7703">
            <w:pPr>
              <w:pStyle w:val="NormalWeb"/>
              <w:numPr>
                <w:ilvl w:val="0"/>
                <w:numId w:val="23"/>
              </w:numP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4E38E8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Sinalização adequada para liberação do tráfego.</w:t>
            </w:r>
          </w:p>
          <w:p w14:paraId="140C080F" w14:textId="77777777" w:rsidR="008F7703" w:rsidRPr="004E38E8" w:rsidRDefault="008F7703" w:rsidP="008F7703">
            <w:pPr>
              <w:pStyle w:val="NormalWeb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BC58A3">
              <w:rPr>
                <w:rFonts w:cs="Tahoma"/>
                <w:sz w:val="16"/>
                <w:szCs w:val="16"/>
              </w:rPr>
              <w:t>▪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4E38E8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Esse prazo é considerado </w:t>
            </w:r>
            <w:r w:rsidRPr="004E38E8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>condição essencial do contrato</w:t>
            </w:r>
            <w:r w:rsidRPr="004E38E8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, tendo em vista a manutenção da mobilidade</w:t>
            </w:r>
            <w: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 principalmente quanto ao escoamento da produção</w:t>
            </w:r>
            <w:r w:rsidRPr="004E38E8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, da segurança dos usuários e do</w:t>
            </w:r>
            <w: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 </w:t>
            </w:r>
            <w:r w:rsidRPr="004E38E8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interesse público</w:t>
            </w:r>
            <w: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;</w:t>
            </w:r>
          </w:p>
          <w:p w14:paraId="2C9DDA1A" w14:textId="77777777" w:rsidR="008F7703" w:rsidRPr="004E38E8" w:rsidRDefault="008F7703" w:rsidP="008F7703">
            <w:pPr>
              <w:spacing w:before="100" w:beforeAutospacing="1" w:after="100" w:afterAutospacing="1"/>
              <w:ind w:firstLine="0"/>
              <w:contextualSpacing w:val="0"/>
              <w:jc w:val="left"/>
              <w:rPr>
                <w:rFonts w:cs="Tahoma"/>
                <w:sz w:val="16"/>
                <w:szCs w:val="16"/>
              </w:rPr>
            </w:pPr>
            <w:r w:rsidRPr="00BC58A3">
              <w:rPr>
                <w:rFonts w:cs="Tahoma"/>
                <w:sz w:val="16"/>
                <w:szCs w:val="16"/>
              </w:rPr>
              <w:t>▪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4E38E8">
              <w:rPr>
                <w:rFonts w:cs="Tahoma"/>
                <w:sz w:val="16"/>
                <w:szCs w:val="16"/>
              </w:rPr>
              <w:t>O Plano de Execução da Detonação deverá ser apresentado para análise e aprovação da fiscalização, podendo a Administração, a qualquer tempo, solicitar ajustes, complementações ou alterações, especialmente quanto aos dias e horários de realização dos serviços, visando à segurança da população, à fluidez do tráfego, ao interesse público e às condições operacionais da via</w:t>
            </w:r>
            <w:r>
              <w:rPr>
                <w:rFonts w:cs="Tahoma"/>
                <w:sz w:val="16"/>
                <w:szCs w:val="16"/>
              </w:rPr>
              <w:t>;</w:t>
            </w:r>
          </w:p>
          <w:p w14:paraId="3EC4F4B2" w14:textId="77777777" w:rsidR="008F7703" w:rsidRPr="004E38E8" w:rsidRDefault="008F7703" w:rsidP="008F7703">
            <w:pPr>
              <w:spacing w:before="100" w:beforeAutospacing="1" w:after="100" w:afterAutospacing="1"/>
              <w:ind w:firstLine="0"/>
              <w:contextualSpacing w:val="0"/>
              <w:jc w:val="left"/>
              <w:rPr>
                <w:rFonts w:cs="Tahoma"/>
                <w:sz w:val="16"/>
                <w:szCs w:val="16"/>
              </w:rPr>
            </w:pPr>
            <w:r w:rsidRPr="00BC58A3">
              <w:rPr>
                <w:rFonts w:cs="Tahoma"/>
                <w:sz w:val="16"/>
                <w:szCs w:val="16"/>
              </w:rPr>
              <w:t>▪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4E38E8">
              <w:rPr>
                <w:rFonts w:cs="Tahoma"/>
                <w:sz w:val="16"/>
                <w:szCs w:val="16"/>
              </w:rPr>
              <w:t>A contratada deverá adequar-se às determinações da fiscalização sem ônus adicional para a Administração, não cabendo alegação de desequilíbrio econômico-financeiro em razão dessas adequações</w:t>
            </w:r>
            <w:r>
              <w:rPr>
                <w:rFonts w:cs="Tahoma"/>
                <w:sz w:val="16"/>
                <w:szCs w:val="16"/>
              </w:rPr>
              <w:t>;</w:t>
            </w:r>
          </w:p>
          <w:p w14:paraId="24EC194F" w14:textId="77777777" w:rsidR="008F7703" w:rsidRPr="004E38E8" w:rsidRDefault="008F7703" w:rsidP="008F7703">
            <w:pPr>
              <w:spacing w:before="100" w:beforeAutospacing="1" w:after="100" w:afterAutospacing="1"/>
              <w:ind w:firstLine="0"/>
              <w:contextualSpacing w:val="0"/>
              <w:jc w:val="left"/>
              <w:rPr>
                <w:rFonts w:cs="Tahoma"/>
                <w:sz w:val="16"/>
                <w:szCs w:val="16"/>
              </w:rPr>
            </w:pPr>
            <w:r w:rsidRPr="00BC58A3">
              <w:rPr>
                <w:rFonts w:cs="Tahoma"/>
                <w:sz w:val="16"/>
                <w:szCs w:val="16"/>
              </w:rPr>
              <w:t>▪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4E38E8">
              <w:rPr>
                <w:rFonts w:cs="Tahoma"/>
                <w:sz w:val="16"/>
                <w:szCs w:val="16"/>
              </w:rPr>
              <w:t>Os serviços de detonação somente poderão ser executados nos dias e horários expressamente autorizados pela fiscalização do contrato</w:t>
            </w:r>
            <w:r>
              <w:rPr>
                <w:rFonts w:cs="Tahoma"/>
                <w:sz w:val="16"/>
                <w:szCs w:val="16"/>
              </w:rPr>
              <w:t>;</w:t>
            </w:r>
          </w:p>
          <w:p w14:paraId="1093B62E" w14:textId="77777777" w:rsidR="008F7703" w:rsidRDefault="008F7703" w:rsidP="008F7703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BC58A3">
              <w:rPr>
                <w:rFonts w:cs="Tahoma"/>
                <w:sz w:val="16"/>
                <w:szCs w:val="16"/>
              </w:rPr>
              <w:t>▪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4E38E8">
              <w:rPr>
                <w:rFonts w:cs="Tahoma"/>
                <w:sz w:val="16"/>
                <w:szCs w:val="16"/>
              </w:rPr>
              <w:t>O descumprimento do prazo máximo de liberação da pista sujeitará a contratada à aplicação das penalidades previstas em contrato e na Lei nº 14.133/2021</w:t>
            </w:r>
            <w:r>
              <w:rPr>
                <w:rFonts w:cs="Tahoma"/>
                <w:sz w:val="16"/>
                <w:szCs w:val="16"/>
              </w:rPr>
              <w:t>;</w:t>
            </w:r>
          </w:p>
          <w:p w14:paraId="0DC0CB52" w14:textId="77777777" w:rsidR="008F7703" w:rsidRDefault="008F7703" w:rsidP="008F7703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</w:p>
          <w:p w14:paraId="3844BCA4" w14:textId="77777777" w:rsidR="008F7703" w:rsidRDefault="008F7703" w:rsidP="008F7703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BC58A3">
              <w:rPr>
                <w:rFonts w:cs="Tahoma"/>
                <w:sz w:val="16"/>
                <w:szCs w:val="16"/>
              </w:rPr>
              <w:t>▪</w:t>
            </w:r>
            <w:r>
              <w:rPr>
                <w:rFonts w:cs="Tahoma"/>
                <w:sz w:val="16"/>
                <w:szCs w:val="16"/>
              </w:rPr>
              <w:t xml:space="preserve"> A ordem de Início dos serviços será emitida somente após a análise e aprovação do plano de detonação e de execução;</w:t>
            </w:r>
          </w:p>
          <w:p w14:paraId="4005ADBB" w14:textId="77777777" w:rsidR="008F7703" w:rsidRDefault="008F7703" w:rsidP="008F7703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</w:p>
          <w:p w14:paraId="34E6A3B8" w14:textId="77777777" w:rsidR="008F7703" w:rsidRDefault="008F7703" w:rsidP="008F7703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BC58A3">
              <w:rPr>
                <w:rFonts w:cs="Tahoma"/>
                <w:sz w:val="16"/>
                <w:szCs w:val="16"/>
              </w:rPr>
              <w:t>▪</w:t>
            </w:r>
            <w:r>
              <w:rPr>
                <w:rFonts w:cs="Tahoma"/>
                <w:sz w:val="16"/>
                <w:szCs w:val="16"/>
              </w:rPr>
              <w:t xml:space="preserve"> Após a aprovação dos referidos planos a empresa deverá apresentar, em até 05 dias úteis após, o Comprovante de Registro (CR) da empresa junto ao Exército Brasileiro, com atividade compatível ao desmonte de rocha e com validade;</w:t>
            </w:r>
          </w:p>
          <w:p w14:paraId="0F2399F2" w14:textId="77777777" w:rsidR="008F7703" w:rsidRDefault="008F7703" w:rsidP="008F7703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</w:p>
          <w:p w14:paraId="29611FAB" w14:textId="63D5930E" w:rsidR="008F7703" w:rsidRPr="00B149BB" w:rsidRDefault="008F7703" w:rsidP="00CE2B6D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BC58A3">
              <w:rPr>
                <w:rFonts w:cs="Tahoma"/>
                <w:sz w:val="16"/>
                <w:szCs w:val="16"/>
              </w:rPr>
              <w:t>▪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927C53">
              <w:rPr>
                <w:rFonts w:cs="Tahoma"/>
                <w:sz w:val="16"/>
                <w:szCs w:val="16"/>
              </w:rPr>
              <w:t xml:space="preserve">A contratada deverá apresentar à fiscalização, </w:t>
            </w:r>
            <w:r w:rsidRPr="00927C53">
              <w:rPr>
                <w:rFonts w:cs="Tahoma"/>
                <w:b/>
                <w:bCs/>
                <w:sz w:val="16"/>
                <w:szCs w:val="16"/>
              </w:rPr>
              <w:t>antes de cada operação de detonação</w:t>
            </w:r>
            <w:r w:rsidRPr="00927C53">
              <w:rPr>
                <w:rFonts w:cs="Tahoma"/>
                <w:sz w:val="16"/>
                <w:szCs w:val="16"/>
              </w:rPr>
              <w:t xml:space="preserve">, a respectiva </w:t>
            </w:r>
            <w:r w:rsidRPr="00927C53">
              <w:rPr>
                <w:rFonts w:cs="Tahoma"/>
                <w:b/>
                <w:bCs/>
                <w:sz w:val="16"/>
                <w:szCs w:val="16"/>
              </w:rPr>
              <w:t>Guia de Tráfego – GT</w:t>
            </w:r>
            <w:r w:rsidRPr="00927C53">
              <w:rPr>
                <w:rFonts w:cs="Tahoma"/>
                <w:sz w:val="16"/>
                <w:szCs w:val="16"/>
              </w:rPr>
              <w:t>, emitida pelo Exército Brasileiro, válida para o transporte dos explosivos a serem utilizados, contendo a identificação da origem, do destino, da quantidade e do período autorizado.</w:t>
            </w:r>
          </w:p>
          <w:p w14:paraId="4B0F43B2" w14:textId="652503CD" w:rsidR="00476A34" w:rsidRPr="00B149BB" w:rsidRDefault="00476A34" w:rsidP="008229C5">
            <w:pPr>
              <w:spacing w:line="276" w:lineRule="auto"/>
              <w:rPr>
                <w:rFonts w:cs="Tahoma"/>
                <w:sz w:val="16"/>
                <w:szCs w:val="16"/>
              </w:rPr>
            </w:pPr>
          </w:p>
        </w:tc>
      </w:tr>
    </w:tbl>
    <w:p w14:paraId="0825A047" w14:textId="77777777" w:rsidR="008F76F3" w:rsidRPr="00B149BB" w:rsidRDefault="008F76F3" w:rsidP="008F76F3">
      <w:pPr>
        <w:pStyle w:val="Default"/>
        <w:spacing w:line="276" w:lineRule="auto"/>
        <w:jc w:val="both"/>
        <w:rPr>
          <w:rFonts w:ascii="Tahoma" w:eastAsia="Times New Roman" w:hAnsi="Tahoma" w:cs="Tahoma"/>
          <w:i/>
          <w:color w:val="auto"/>
          <w:sz w:val="16"/>
          <w:szCs w:val="16"/>
          <w:lang w:eastAsia="pt-BR"/>
        </w:rPr>
      </w:pPr>
      <w:r w:rsidRPr="00B149BB">
        <w:rPr>
          <w:rFonts w:ascii="Tahoma" w:eastAsia="Times New Roman" w:hAnsi="Tahoma" w:cs="Tahoma"/>
          <w:i/>
          <w:color w:val="auto"/>
          <w:sz w:val="16"/>
          <w:szCs w:val="16"/>
          <w:lang w:eastAsia="pt-BR"/>
        </w:rPr>
        <w:lastRenderedPageBreak/>
        <w:t xml:space="preserve"> </w:t>
      </w: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B149BB" w14:paraId="77F24F0B" w14:textId="77777777" w:rsidTr="007F065B">
        <w:tc>
          <w:tcPr>
            <w:tcW w:w="10201" w:type="dxa"/>
          </w:tcPr>
          <w:p w14:paraId="26828342" w14:textId="77777777" w:rsidR="008F76F3" w:rsidRPr="00B149BB" w:rsidRDefault="008F76F3" w:rsidP="00251A32">
            <w:pPr>
              <w:spacing w:line="276" w:lineRule="auto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149BB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4 – ESTIMATIVA DAS QUANTIDADES</w:t>
            </w:r>
          </w:p>
        </w:tc>
      </w:tr>
      <w:tr w:rsidR="008F76F3" w:rsidRPr="00B149BB" w14:paraId="1D789878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25CF518F" w14:textId="77777777" w:rsidR="008F76F3" w:rsidRPr="00B149BB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B149BB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B149BB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Estimativa das quantidades a serem contratadas, acompanhada das memórias de cálculo e dos documentos que lhe dão suporte, considerando a interdependência com outras contratações, de modo a possibilitar economia de escala (inciso IV do § 1° do art. 18 da Lei 14.133/21); </w:t>
            </w:r>
          </w:p>
        </w:tc>
      </w:tr>
      <w:tr w:rsidR="008F76F3" w:rsidRPr="00B149BB" w14:paraId="47CF1596" w14:textId="77777777" w:rsidTr="007F065B">
        <w:trPr>
          <w:trHeight w:val="249"/>
        </w:trPr>
        <w:tc>
          <w:tcPr>
            <w:tcW w:w="10201" w:type="dxa"/>
          </w:tcPr>
          <w:p w14:paraId="0F2CE162" w14:textId="053B7BB6" w:rsidR="008F76F3" w:rsidRPr="00B149BB" w:rsidRDefault="0003791A" w:rsidP="0003791A">
            <w:pPr>
              <w:spacing w:line="276" w:lineRule="auto"/>
              <w:rPr>
                <w:rFonts w:eastAsia="Times New Roman" w:cs="Tahoma"/>
                <w:iCs/>
                <w:sz w:val="16"/>
                <w:szCs w:val="16"/>
                <w:lang w:eastAsia="pt-BR"/>
              </w:rPr>
            </w:pPr>
            <w:r w:rsidRPr="00B149BB">
              <w:rPr>
                <w:rFonts w:eastAsia="Times New Roman" w:cs="Tahoma"/>
                <w:iCs/>
                <w:sz w:val="16"/>
                <w:szCs w:val="16"/>
                <w:lang w:eastAsia="pt-BR"/>
              </w:rPr>
              <w:t>Todas as quantidades de materiais e serviços foram apuradas conforme o “Memorial Descritivo” e “Planilha Orçamentária”, que são partes integrantes do Projeto Básico/Executivo, e que contém todas as referências e detalhamentos considerados em sua elaboração.</w:t>
            </w:r>
          </w:p>
        </w:tc>
      </w:tr>
    </w:tbl>
    <w:p w14:paraId="6E7C030A" w14:textId="77777777" w:rsidR="008F76F3" w:rsidRPr="00B149BB" w:rsidRDefault="008F76F3" w:rsidP="008F76F3">
      <w:pPr>
        <w:pStyle w:val="Default"/>
        <w:spacing w:line="276" w:lineRule="auto"/>
        <w:jc w:val="both"/>
        <w:rPr>
          <w:rFonts w:ascii="Tahoma" w:eastAsia="Times New Roman" w:hAnsi="Tahoma" w:cs="Tahoma"/>
          <w:i/>
          <w:color w:val="auto"/>
          <w:sz w:val="16"/>
          <w:szCs w:val="16"/>
          <w:lang w:eastAsia="pt-BR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B149BB" w14:paraId="21089FAE" w14:textId="77777777" w:rsidTr="007F065B">
        <w:tc>
          <w:tcPr>
            <w:tcW w:w="10201" w:type="dxa"/>
          </w:tcPr>
          <w:p w14:paraId="268D97E3" w14:textId="77777777" w:rsidR="008F76F3" w:rsidRPr="00B149BB" w:rsidRDefault="008F76F3" w:rsidP="00251A32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  <w:r w:rsidRPr="00B149BB">
              <w:rPr>
                <w:rFonts w:cs="Tahoma"/>
                <w:b/>
                <w:sz w:val="16"/>
                <w:szCs w:val="16"/>
              </w:rPr>
              <w:t>5 – LEVANTAMENTO DE MERCADO</w:t>
            </w:r>
          </w:p>
        </w:tc>
      </w:tr>
      <w:tr w:rsidR="008F76F3" w:rsidRPr="00B149BB" w14:paraId="2B9D2A83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62E2A33C" w14:textId="77777777" w:rsidR="008F76F3" w:rsidRPr="00B149BB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B149BB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B149BB">
              <w:rPr>
                <w:rFonts w:cs="Tahoma"/>
                <w:sz w:val="16"/>
                <w:szCs w:val="16"/>
              </w:rPr>
              <w:t>Levantamento de mercado, que consiste na análise das alternativas possíveis, e justificativa técnica e econômica da escolha do tipo de solução a contratar (</w:t>
            </w:r>
            <w:r w:rsidRPr="00B149BB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inciso V do § 1° do art. 18 da Lei 14.133/2021); </w:t>
            </w:r>
          </w:p>
        </w:tc>
      </w:tr>
      <w:tr w:rsidR="008F76F3" w:rsidRPr="00B149BB" w14:paraId="60E2412E" w14:textId="77777777" w:rsidTr="007F065B">
        <w:tc>
          <w:tcPr>
            <w:tcW w:w="10201" w:type="dxa"/>
          </w:tcPr>
          <w:p w14:paraId="4774A4C7" w14:textId="19392B69" w:rsidR="008F76F3" w:rsidRPr="00B149BB" w:rsidRDefault="0003791A" w:rsidP="0003791A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037953">
              <w:rPr>
                <w:rFonts w:cs="Tahoma"/>
                <w:sz w:val="16"/>
                <w:szCs w:val="16"/>
              </w:rPr>
              <w:t>Conforme previsto na Lei Federal n. 14.133/2021, Art. 23, § 2º, foi utilizada, para aferição do valor estimado da licitação, a Tabela de Custos SINAPI</w:t>
            </w:r>
            <w:r w:rsidR="008C54C2" w:rsidRPr="00037953">
              <w:rPr>
                <w:rFonts w:cs="Tahoma"/>
                <w:sz w:val="16"/>
                <w:szCs w:val="16"/>
              </w:rPr>
              <w:t xml:space="preserve">, tendo como mês de referência </w:t>
            </w:r>
            <w:r w:rsidR="004B29BC" w:rsidRPr="00037953">
              <w:rPr>
                <w:rFonts w:cs="Tahoma"/>
                <w:sz w:val="16"/>
                <w:szCs w:val="16"/>
              </w:rPr>
              <w:t>abril</w:t>
            </w:r>
            <w:r w:rsidR="008C54C2" w:rsidRPr="00037953">
              <w:rPr>
                <w:rFonts w:cs="Tahoma"/>
                <w:sz w:val="16"/>
                <w:szCs w:val="16"/>
              </w:rPr>
              <w:t xml:space="preserve"> de 2025</w:t>
            </w:r>
            <w:r w:rsidR="006F3920" w:rsidRPr="00037953">
              <w:rPr>
                <w:rFonts w:cs="Tahoma"/>
                <w:sz w:val="16"/>
                <w:szCs w:val="16"/>
              </w:rPr>
              <w:t xml:space="preserve"> e</w:t>
            </w:r>
            <w:r w:rsidR="008C54C2" w:rsidRPr="00037953">
              <w:rPr>
                <w:rFonts w:cs="Tahoma"/>
                <w:sz w:val="16"/>
                <w:szCs w:val="16"/>
              </w:rPr>
              <w:t xml:space="preserve"> a Tabela</w:t>
            </w:r>
            <w:r w:rsidR="006F3920" w:rsidRPr="00037953">
              <w:rPr>
                <w:rFonts w:cs="Tahoma"/>
                <w:sz w:val="16"/>
                <w:szCs w:val="16"/>
              </w:rPr>
              <w:t xml:space="preserve"> SICRO</w:t>
            </w:r>
            <w:r w:rsidRPr="00037953">
              <w:rPr>
                <w:rFonts w:cs="Tahoma"/>
                <w:sz w:val="16"/>
                <w:szCs w:val="16"/>
              </w:rPr>
              <w:t>, tendo como mês de referência</w:t>
            </w:r>
            <w:r w:rsidR="006F3920" w:rsidRPr="00037953">
              <w:rPr>
                <w:rFonts w:cs="Tahoma"/>
                <w:sz w:val="16"/>
                <w:szCs w:val="16"/>
              </w:rPr>
              <w:t xml:space="preserve"> </w:t>
            </w:r>
            <w:r w:rsidR="004B29BC" w:rsidRPr="00037953">
              <w:rPr>
                <w:rFonts w:cs="Tahoma"/>
                <w:sz w:val="16"/>
                <w:szCs w:val="16"/>
              </w:rPr>
              <w:t>abril</w:t>
            </w:r>
            <w:r w:rsidR="006F3920" w:rsidRPr="00037953">
              <w:rPr>
                <w:rFonts w:cs="Tahoma"/>
                <w:sz w:val="16"/>
                <w:szCs w:val="16"/>
              </w:rPr>
              <w:t xml:space="preserve"> </w:t>
            </w:r>
            <w:r w:rsidRPr="00037953">
              <w:rPr>
                <w:rFonts w:cs="Tahoma"/>
                <w:sz w:val="16"/>
                <w:szCs w:val="16"/>
              </w:rPr>
              <w:t xml:space="preserve">de </w:t>
            </w:r>
            <w:r w:rsidR="008C54C2" w:rsidRPr="00037953">
              <w:rPr>
                <w:rFonts w:cs="Tahoma"/>
                <w:sz w:val="16"/>
                <w:szCs w:val="16"/>
              </w:rPr>
              <w:t>2025.</w:t>
            </w:r>
            <w:r w:rsidR="00F01208" w:rsidRPr="00037953">
              <w:rPr>
                <w:rFonts w:cs="Tahoma"/>
                <w:sz w:val="16"/>
                <w:szCs w:val="16"/>
              </w:rPr>
              <w:t xml:space="preserve"> Também</w:t>
            </w:r>
            <w:r w:rsidR="00037953" w:rsidRPr="00037953">
              <w:rPr>
                <w:rFonts w:cs="Tahoma"/>
                <w:sz w:val="16"/>
                <w:szCs w:val="16"/>
              </w:rPr>
              <w:t xml:space="preserve"> foi</w:t>
            </w:r>
            <w:r w:rsidR="002D7887" w:rsidRPr="00037953">
              <w:rPr>
                <w:rFonts w:cs="Tahoma"/>
                <w:sz w:val="16"/>
                <w:szCs w:val="16"/>
              </w:rPr>
              <w:t xml:space="preserve"> utilizado </w:t>
            </w:r>
            <w:r w:rsidR="00F01208" w:rsidRPr="00037953">
              <w:rPr>
                <w:rFonts w:cs="Tahoma"/>
                <w:sz w:val="16"/>
                <w:szCs w:val="16"/>
              </w:rPr>
              <w:t>composições</w:t>
            </w:r>
            <w:r w:rsidR="00037953" w:rsidRPr="00037953">
              <w:rPr>
                <w:rFonts w:cs="Tahoma"/>
                <w:sz w:val="16"/>
                <w:szCs w:val="16"/>
              </w:rPr>
              <w:t xml:space="preserve"> próprias e tabela da ANP</w:t>
            </w:r>
            <w:r w:rsidR="00F01208" w:rsidRPr="00037953">
              <w:rPr>
                <w:rFonts w:cs="Tahoma"/>
                <w:sz w:val="16"/>
                <w:szCs w:val="16"/>
              </w:rPr>
              <w:t>.</w:t>
            </w:r>
          </w:p>
        </w:tc>
      </w:tr>
    </w:tbl>
    <w:p w14:paraId="62EB6836" w14:textId="77777777" w:rsidR="008F76F3" w:rsidRPr="00B149BB" w:rsidRDefault="008F76F3" w:rsidP="008F76F3">
      <w:pPr>
        <w:spacing w:after="0" w:line="276" w:lineRule="auto"/>
        <w:rPr>
          <w:rFonts w:eastAsia="Times New Roman" w:cs="Tahoma"/>
          <w:i/>
          <w:sz w:val="16"/>
          <w:szCs w:val="16"/>
          <w:lang w:eastAsia="pt-BR"/>
        </w:rPr>
      </w:pPr>
      <w:r w:rsidRPr="00B149BB">
        <w:rPr>
          <w:rFonts w:eastAsia="Times New Roman" w:cs="Tahoma"/>
          <w:i/>
          <w:sz w:val="16"/>
          <w:szCs w:val="16"/>
          <w:lang w:eastAsia="pt-BR"/>
        </w:rPr>
        <w:t xml:space="preserve"> </w:t>
      </w: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B149BB" w14:paraId="1EE56F1B" w14:textId="77777777" w:rsidTr="007F065B">
        <w:tc>
          <w:tcPr>
            <w:tcW w:w="10201" w:type="dxa"/>
          </w:tcPr>
          <w:p w14:paraId="7C09CC09" w14:textId="77777777" w:rsidR="008F76F3" w:rsidRPr="00B149BB" w:rsidRDefault="008F76F3" w:rsidP="00251A32">
            <w:pPr>
              <w:spacing w:line="276" w:lineRule="auto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B149BB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6 – ESTIMATIVA DO VALOR DA CONTRATAÇÃO</w:t>
            </w:r>
          </w:p>
        </w:tc>
      </w:tr>
      <w:tr w:rsidR="008F76F3" w:rsidRPr="00B149BB" w14:paraId="64A3B4E9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62E41FC5" w14:textId="7E7854DD" w:rsidR="008F76F3" w:rsidRPr="00B149BB" w:rsidRDefault="008F76F3" w:rsidP="00251A32">
            <w:pPr>
              <w:spacing w:line="276" w:lineRule="auto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B149BB">
              <w:rPr>
                <w:rFonts w:eastAsia="Times New Roman" w:cs="Tahoma"/>
                <w:bCs/>
                <w:sz w:val="16"/>
                <w:szCs w:val="16"/>
                <w:lang w:eastAsia="pt-BR"/>
              </w:rPr>
              <w:t xml:space="preserve">Fundamentação: </w:t>
            </w:r>
            <w:r w:rsidRPr="00B149BB">
              <w:rPr>
                <w:rFonts w:eastAsia="Times New Roman" w:cs="Tahoma"/>
                <w:sz w:val="16"/>
                <w:szCs w:val="16"/>
                <w:lang w:eastAsia="pt-BR"/>
              </w:rPr>
              <w:t>Estimativa do valor da contratação, acompanhada dos preços unitários referenciais, d</w:t>
            </w:r>
            <w:r w:rsidR="00154D53" w:rsidRPr="00B149BB">
              <w:rPr>
                <w:rFonts w:eastAsia="Times New Roman" w:cs="Tahoma"/>
                <w:sz w:val="16"/>
                <w:szCs w:val="16"/>
                <w:lang w:eastAsia="pt-BR"/>
              </w:rPr>
              <w:t>a</w:t>
            </w:r>
            <w:r w:rsidRPr="00B149BB">
              <w:rPr>
                <w:rFonts w:eastAsia="Times New Roman" w:cs="Tahoma"/>
                <w:sz w:val="16"/>
                <w:szCs w:val="16"/>
                <w:lang w:eastAsia="pt-BR"/>
              </w:rPr>
              <w:t>s memórias de cálculo e dos documentos que lhe dão suporte, que poderão constar de anexo classificado, se a administração optar por preservar o seu sigilo até a conclusão da licitação (inciso VI do § 1° da Lei 14.133/21);</w:t>
            </w:r>
          </w:p>
        </w:tc>
      </w:tr>
      <w:tr w:rsidR="008F76F3" w:rsidRPr="00B149BB" w14:paraId="42BE0386" w14:textId="77777777" w:rsidTr="007F065B">
        <w:tc>
          <w:tcPr>
            <w:tcW w:w="10201" w:type="dxa"/>
          </w:tcPr>
          <w:p w14:paraId="77604182" w14:textId="349FBE35" w:rsidR="008F76F3" w:rsidRPr="00B149BB" w:rsidRDefault="000239C2" w:rsidP="00251A32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B149BB">
              <w:rPr>
                <w:rFonts w:cs="Tahoma"/>
                <w:sz w:val="16"/>
                <w:szCs w:val="16"/>
              </w:rPr>
              <w:t xml:space="preserve">A estimativa de valor da contratação é </w:t>
            </w:r>
            <w:r w:rsidRPr="00605AA6">
              <w:rPr>
                <w:rFonts w:cs="Tahoma"/>
                <w:sz w:val="16"/>
                <w:szCs w:val="16"/>
              </w:rPr>
              <w:t xml:space="preserve">de </w:t>
            </w:r>
            <w:r w:rsidR="00FE5DE0" w:rsidRPr="00605AA6">
              <w:rPr>
                <w:sz w:val="16"/>
                <w:szCs w:val="16"/>
              </w:rPr>
              <w:t xml:space="preserve">R$ </w:t>
            </w:r>
            <w:r w:rsidR="00037953">
              <w:rPr>
                <w:sz w:val="16"/>
                <w:szCs w:val="16"/>
              </w:rPr>
              <w:t>3.941.581,08</w:t>
            </w:r>
            <w:r w:rsidR="00DA0691" w:rsidRPr="00605AA6">
              <w:rPr>
                <w:sz w:val="16"/>
                <w:szCs w:val="16"/>
              </w:rPr>
              <w:t xml:space="preserve"> </w:t>
            </w:r>
            <w:r w:rsidR="00FE5DE0" w:rsidRPr="00605AA6">
              <w:rPr>
                <w:sz w:val="16"/>
                <w:szCs w:val="16"/>
              </w:rPr>
              <w:t>(</w:t>
            </w:r>
            <w:r w:rsidR="00037953">
              <w:rPr>
                <w:sz w:val="16"/>
                <w:szCs w:val="16"/>
              </w:rPr>
              <w:t>três milhões, novecentos e quarenta e um mil quinhentos e oitenta e um reais com oito centavos</w:t>
            </w:r>
            <w:r w:rsidR="00FE5DE0" w:rsidRPr="00605AA6">
              <w:rPr>
                <w:sz w:val="16"/>
                <w:szCs w:val="16"/>
              </w:rPr>
              <w:t>)</w:t>
            </w:r>
            <w:r w:rsidRPr="00605AA6">
              <w:rPr>
                <w:rFonts w:cs="Tahoma"/>
                <w:sz w:val="16"/>
                <w:szCs w:val="16"/>
              </w:rPr>
              <w:t xml:space="preserve">, </w:t>
            </w:r>
            <w:r w:rsidRPr="00037953">
              <w:rPr>
                <w:rFonts w:cs="Tahoma"/>
                <w:sz w:val="16"/>
                <w:szCs w:val="16"/>
              </w:rPr>
              <w:t>com base no sistema SINAPI</w:t>
            </w:r>
            <w:r w:rsidR="00037953" w:rsidRPr="00037953">
              <w:rPr>
                <w:rFonts w:cs="Tahoma"/>
                <w:sz w:val="16"/>
                <w:szCs w:val="16"/>
              </w:rPr>
              <w:t>,</w:t>
            </w:r>
            <w:r w:rsidRPr="00037953">
              <w:rPr>
                <w:rFonts w:cs="Tahoma"/>
                <w:sz w:val="16"/>
                <w:szCs w:val="16"/>
              </w:rPr>
              <w:t xml:space="preserve"> tabela SICRO</w:t>
            </w:r>
            <w:r w:rsidR="00037953" w:rsidRPr="00037953">
              <w:rPr>
                <w:rFonts w:cs="Tahoma"/>
                <w:sz w:val="16"/>
                <w:szCs w:val="16"/>
              </w:rPr>
              <w:t xml:space="preserve"> e composições próprias</w:t>
            </w:r>
            <w:r w:rsidR="00292A43" w:rsidRPr="00037953">
              <w:rPr>
                <w:rFonts w:cs="Tahoma"/>
                <w:sz w:val="16"/>
                <w:szCs w:val="16"/>
              </w:rPr>
              <w:t>.</w:t>
            </w:r>
          </w:p>
        </w:tc>
      </w:tr>
    </w:tbl>
    <w:p w14:paraId="0E9A09B8" w14:textId="77777777" w:rsidR="008F76F3" w:rsidRPr="00B149BB" w:rsidRDefault="008F76F3" w:rsidP="008F76F3">
      <w:pPr>
        <w:spacing w:after="0" w:line="276" w:lineRule="auto"/>
        <w:rPr>
          <w:rFonts w:cs="Tahoma"/>
          <w:b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B149BB" w14:paraId="59783D2D" w14:textId="77777777" w:rsidTr="007F065B">
        <w:tc>
          <w:tcPr>
            <w:tcW w:w="10201" w:type="dxa"/>
          </w:tcPr>
          <w:p w14:paraId="467389BF" w14:textId="77777777" w:rsidR="008F76F3" w:rsidRPr="00B149BB" w:rsidRDefault="008F76F3" w:rsidP="00251A32">
            <w:pPr>
              <w:spacing w:line="276" w:lineRule="auto"/>
              <w:rPr>
                <w:rFonts w:cs="Tahoma"/>
                <w:b/>
                <w:bCs/>
                <w:sz w:val="16"/>
                <w:szCs w:val="16"/>
              </w:rPr>
            </w:pPr>
            <w:r w:rsidRPr="00B149BB">
              <w:rPr>
                <w:rFonts w:cs="Tahoma"/>
                <w:b/>
                <w:bCs/>
                <w:sz w:val="16"/>
                <w:szCs w:val="16"/>
              </w:rPr>
              <w:t>7 - DESCRIÇÃO DA SOLUÇÃO COMO UM TODO</w:t>
            </w:r>
          </w:p>
        </w:tc>
      </w:tr>
      <w:tr w:rsidR="008F76F3" w:rsidRPr="00B149BB" w14:paraId="629A6FF1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74CFCA8D" w14:textId="77777777" w:rsidR="008F76F3" w:rsidRPr="00B149BB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B149BB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B149BB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Descrição da solução como um todo, inclusive das exigências relacionadas à manutenção e à assistência técnica, quando for o caso (inciso VII do § 1° do art. 18 da Lei 14.133/21); </w:t>
            </w:r>
          </w:p>
        </w:tc>
      </w:tr>
      <w:tr w:rsidR="008F76F3" w:rsidRPr="00B149BB" w14:paraId="03FF8AC2" w14:textId="77777777" w:rsidTr="007F065B">
        <w:tc>
          <w:tcPr>
            <w:tcW w:w="10201" w:type="dxa"/>
          </w:tcPr>
          <w:p w14:paraId="58A0ADEE" w14:textId="485B64EE" w:rsidR="003B05D2" w:rsidRPr="003B05D2" w:rsidRDefault="003B05D2" w:rsidP="003B05D2">
            <w:pPr>
              <w:pStyle w:val="NormalWeb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3B05D2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A solução proposta consiste na</w:t>
            </w:r>
            <w: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 </w:t>
            </w:r>
            <w:r w:rsidRPr="003B05D2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reconstrução da ciclovia na VRS-863, denominada Rodovia Paulo Gilberto Altmann conhecida como “Estrada do Perau”, associada à </w:t>
            </w:r>
            <w:r w:rsidRPr="003B05D2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>readequação d</w:t>
            </w:r>
            <w:r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>o eixo da pista de rolamento</w:t>
            </w:r>
            <w:r w:rsidRPr="003B05D2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 xml:space="preserve"> existente</w:t>
            </w:r>
            <w:r w:rsidRPr="003B05D2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, por meio de um conjunto integrado de intervenções técnicas, conforme detalhado nos projetos, memorial descritivo, planilhas orçamentárias, plano de trabalho e projeções ilustrativas anexas.</w:t>
            </w:r>
          </w:p>
          <w:p w14:paraId="273D762E" w14:textId="78FD72FC" w:rsidR="003B05D2" w:rsidRPr="003B05D2" w:rsidRDefault="003B05D2" w:rsidP="003B05D2">
            <w:pPr>
              <w:pStyle w:val="NormalWeb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3B05D2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Para viabilizar a implantação segura da nova ciclovia e garantir a estabilidade da infraestrutura, será necessári</w:t>
            </w:r>
            <w: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o</w:t>
            </w:r>
            <w:r w:rsidRPr="003B05D2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o </w:t>
            </w:r>
            <w:r w:rsidRPr="003B05D2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>deslocamento</w:t>
            </w:r>
            <w: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 </w:t>
            </w:r>
            <w:r w:rsidRPr="003B05D2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>da plataforma da rodovia</w:t>
            </w:r>
            <w:r w:rsidRPr="003B05D2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, mediante </w:t>
            </w:r>
            <w:r w:rsidRPr="003B05D2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>desmonte controlado do paredão rochoso existente</w:t>
            </w:r>
            <w:r w:rsidRPr="003B05D2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, com uso de explosivos e equipamentos apropriados, conforme critérios técnicos, ambientais e de segurança previstos em projeto. Essa intervenção é indispensável para o correto posicionamento da nova pista e da ciclovia, eliminando riscos de instabilidade e colapso estrutural.</w:t>
            </w:r>
          </w:p>
          <w:p w14:paraId="7BEB79B4" w14:textId="071A1588" w:rsidR="003B05D2" w:rsidRPr="003B05D2" w:rsidRDefault="003B05D2" w:rsidP="003B05D2">
            <w:pPr>
              <w:pStyle w:val="NormalWeb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3B05D2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O material rochoso resultante da detonação será </w:t>
            </w:r>
            <w:r w:rsidRPr="003B05D2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>reaproveitado na execução de enrocamento ao longo da margem do arroio</w:t>
            </w:r>
            <w:r w:rsidRPr="003B05D2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, formando estrutura de proteção permanente contra processos erosivos, contribuindo diretamente para a durabilidade da ciclovia e da pista </w:t>
            </w:r>
            <w:r w:rsidRPr="003B05D2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lastRenderedPageBreak/>
              <w:t>de rolamento adjacente. Trata-se de solução técnica eficiente, sustentável e economicamente vantajosa, ao reduzir a necessidade de transporte e descarte de material.</w:t>
            </w:r>
          </w:p>
          <w:p w14:paraId="13A8FB09" w14:textId="77777777" w:rsidR="003B05D2" w:rsidRPr="003B05D2" w:rsidRDefault="003B05D2" w:rsidP="003B05D2">
            <w:pPr>
              <w:pStyle w:val="NormalWeb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3B05D2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Complementarmente, a solução contempla a execução de </w:t>
            </w:r>
            <w:r w:rsidRPr="003B05D2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>sistemas de drenagem superficial e profunda</w:t>
            </w:r>
            <w:r w:rsidRPr="003B05D2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, pavimentação em CBUQ, implantação de meio-fio, sinalização viária horizontal e demais serviços necessários para restabelecer as condições adequadas de uso, segurança e funcionalidade da infraestrutura.</w:t>
            </w:r>
          </w:p>
          <w:p w14:paraId="59C55FF8" w14:textId="42FC5D03" w:rsidR="007C50BA" w:rsidRPr="00B149BB" w:rsidRDefault="007C50BA" w:rsidP="003D50F9">
            <w:pPr>
              <w:spacing w:before="100" w:beforeAutospacing="1" w:after="100" w:afterAutospacing="1"/>
              <w:ind w:firstLine="0"/>
              <w:contextualSpacing w:val="0"/>
              <w:rPr>
                <w:rFonts w:cs="Tahoma"/>
                <w:sz w:val="16"/>
                <w:szCs w:val="16"/>
              </w:rPr>
            </w:pPr>
          </w:p>
        </w:tc>
      </w:tr>
    </w:tbl>
    <w:p w14:paraId="7D7AE9E6" w14:textId="77777777" w:rsidR="008F76F3" w:rsidRPr="00B149BB" w:rsidRDefault="008F76F3" w:rsidP="008F76F3">
      <w:pPr>
        <w:spacing w:after="0" w:line="276" w:lineRule="auto"/>
        <w:rPr>
          <w:rFonts w:cs="Tahoma"/>
          <w:b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B149BB" w14:paraId="1EC6909D" w14:textId="77777777" w:rsidTr="007F065B">
        <w:tc>
          <w:tcPr>
            <w:tcW w:w="10201" w:type="dxa"/>
          </w:tcPr>
          <w:p w14:paraId="6F6C09F3" w14:textId="77777777" w:rsidR="008F76F3" w:rsidRPr="00B149BB" w:rsidRDefault="008F76F3" w:rsidP="00251A32">
            <w:pPr>
              <w:spacing w:line="276" w:lineRule="auto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149BB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8 – JUSTIFICATIVA PARA PARCELAMENTO</w:t>
            </w:r>
          </w:p>
        </w:tc>
      </w:tr>
      <w:tr w:rsidR="008F76F3" w:rsidRPr="00B149BB" w14:paraId="09D7985E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42A688B6" w14:textId="77777777" w:rsidR="008F76F3" w:rsidRPr="00B149BB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B149BB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B149BB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Justificativas para o parcelamento ou não da contratação (inciso VIII do § 1° do art. 18 da Lei 14.133/21); </w:t>
            </w:r>
          </w:p>
        </w:tc>
      </w:tr>
      <w:tr w:rsidR="008F76F3" w:rsidRPr="00B149BB" w14:paraId="3E75C34B" w14:textId="77777777" w:rsidTr="007F065B">
        <w:tc>
          <w:tcPr>
            <w:tcW w:w="10201" w:type="dxa"/>
          </w:tcPr>
          <w:p w14:paraId="2EFD175B" w14:textId="201243C1" w:rsidR="008F76F3" w:rsidRPr="00B149BB" w:rsidRDefault="000239C2" w:rsidP="00B862D0">
            <w:pPr>
              <w:spacing w:line="276" w:lineRule="auto"/>
              <w:ind w:firstLine="306"/>
              <w:rPr>
                <w:rFonts w:cs="Tahoma"/>
                <w:iCs/>
                <w:sz w:val="16"/>
                <w:szCs w:val="16"/>
              </w:rPr>
            </w:pPr>
            <w:r w:rsidRPr="00B149BB">
              <w:rPr>
                <w:rFonts w:cs="Tahoma"/>
                <w:iCs/>
                <w:sz w:val="16"/>
                <w:szCs w:val="16"/>
              </w:rPr>
              <w:t xml:space="preserve">A realização do presente processo licitatório deverá seguir como critério o menor preço global, tendo em vista a empreitada global da obra. </w:t>
            </w:r>
          </w:p>
        </w:tc>
      </w:tr>
    </w:tbl>
    <w:p w14:paraId="46D1E7CB" w14:textId="77777777" w:rsidR="008F76F3" w:rsidRPr="00B149BB" w:rsidRDefault="008F76F3" w:rsidP="008F76F3">
      <w:pPr>
        <w:spacing w:after="0" w:line="276" w:lineRule="auto"/>
        <w:rPr>
          <w:rFonts w:cs="Tahoma"/>
          <w:b/>
          <w:bCs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B149BB" w14:paraId="4EBDFB55" w14:textId="77777777" w:rsidTr="007F065B">
        <w:tc>
          <w:tcPr>
            <w:tcW w:w="10201" w:type="dxa"/>
          </w:tcPr>
          <w:p w14:paraId="7DB61E86" w14:textId="77777777" w:rsidR="008F76F3" w:rsidRPr="00B149BB" w:rsidRDefault="008F76F3" w:rsidP="00251A32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  <w:r w:rsidRPr="00B149BB">
              <w:rPr>
                <w:rFonts w:cs="Tahoma"/>
                <w:b/>
                <w:sz w:val="16"/>
                <w:szCs w:val="16"/>
              </w:rPr>
              <w:t>9 - DEMONSTRATIVO DOS RESULTADOS PRETENDIDOS</w:t>
            </w:r>
          </w:p>
        </w:tc>
      </w:tr>
      <w:tr w:rsidR="008F76F3" w:rsidRPr="00B149BB" w14:paraId="197EBD89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695FC112" w14:textId="77777777" w:rsidR="008F76F3" w:rsidRPr="00B149BB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B149BB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B149BB">
              <w:rPr>
                <w:rFonts w:cs="Tahoma"/>
                <w:sz w:val="16"/>
                <w:szCs w:val="16"/>
              </w:rPr>
              <w:t>Demonstrativo dos resultados pretendidos em termos de economicidade e de melhor aproveitamento dos recursos humanos, materiais e financeiros disponíveis (</w:t>
            </w:r>
            <w:r w:rsidRPr="00B149BB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inciso IX do § 1° do art. 18 da Lei 14.133/21); </w:t>
            </w:r>
          </w:p>
        </w:tc>
      </w:tr>
      <w:tr w:rsidR="008F76F3" w:rsidRPr="00B149BB" w14:paraId="01B06BA0" w14:textId="77777777" w:rsidTr="007F065B">
        <w:tc>
          <w:tcPr>
            <w:tcW w:w="10201" w:type="dxa"/>
          </w:tcPr>
          <w:p w14:paraId="0C99CA51" w14:textId="2565C8EC" w:rsidR="00544E2D" w:rsidRPr="00B149BB" w:rsidRDefault="00316D13" w:rsidP="00544E2D">
            <w:pPr>
              <w:spacing w:line="276" w:lineRule="auto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A </w:t>
            </w:r>
            <w:r w:rsidR="00230BD4">
              <w:rPr>
                <w:rFonts w:cs="Tahoma"/>
                <w:sz w:val="16"/>
                <w:szCs w:val="16"/>
              </w:rPr>
              <w:t>reconstrução da ciclovia na VRS-863, denominada Rodovia Paulo Gilberto Altmann conhecida como “Estrada do Perau”</w:t>
            </w:r>
            <w:r w:rsidR="00660DB2" w:rsidRPr="00B812B6">
              <w:rPr>
                <w:rFonts w:cs="Tahoma"/>
                <w:bCs/>
                <w:sz w:val="16"/>
                <w:szCs w:val="16"/>
              </w:rPr>
              <w:t>,</w:t>
            </w:r>
            <w:r w:rsidR="00660DB2" w:rsidRPr="00B812B6">
              <w:rPr>
                <w:rFonts w:cs="Tahoma"/>
                <w:sz w:val="16"/>
                <w:szCs w:val="16"/>
              </w:rPr>
              <w:t xml:space="preserve"> </w:t>
            </w:r>
            <w:r w:rsidR="00544E2D" w:rsidRPr="00B812B6">
              <w:rPr>
                <w:rFonts w:cs="Tahoma"/>
                <w:sz w:val="16"/>
                <w:szCs w:val="16"/>
              </w:rPr>
              <w:t>busca</w:t>
            </w:r>
            <w:r w:rsidR="00544E2D" w:rsidRPr="00B149BB">
              <w:rPr>
                <w:rFonts w:cs="Tahoma"/>
                <w:sz w:val="16"/>
                <w:szCs w:val="16"/>
              </w:rPr>
              <w:t xml:space="preserve"> assegurar resultados efetivos em termos de economicidade e melhor aproveitamento dos recursos humanos, materiais e financeiros disponíveis. A adoção de um projeto único e integrado evita a fragmentação contratual, reduzindo custos indiretos, prazos e riscos decorrentes de múltiplas contratações, além de permitir maior eficiência na mobilização de equipamentos, mão de obra e insumos.</w:t>
            </w:r>
          </w:p>
          <w:p w14:paraId="02F33682" w14:textId="77777777" w:rsidR="00544E2D" w:rsidRPr="00B149BB" w:rsidRDefault="00544E2D" w:rsidP="00544E2D">
            <w:pPr>
              <w:spacing w:line="276" w:lineRule="auto"/>
              <w:rPr>
                <w:rFonts w:cs="Tahoma"/>
                <w:sz w:val="16"/>
                <w:szCs w:val="16"/>
              </w:rPr>
            </w:pPr>
          </w:p>
          <w:p w14:paraId="477ED73B" w14:textId="6E8D3E1F" w:rsidR="00544E2D" w:rsidRPr="00B149BB" w:rsidRDefault="00544E2D" w:rsidP="00544E2D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B149BB">
              <w:rPr>
                <w:rFonts w:cs="Tahoma"/>
                <w:sz w:val="16"/>
                <w:szCs w:val="16"/>
              </w:rPr>
              <w:t>A concentração dos serviços em um mesmo contrato possibilita ganho de escala, padronização construtiva e redução de desperdícios, garantindo o uso racional de recursos públicos e a maximização do retorno do investimento. Além disso, evita retrabalhos futuros e custos adicionais de manutenção corretiva.</w:t>
            </w:r>
          </w:p>
          <w:p w14:paraId="6813C4E4" w14:textId="77777777" w:rsidR="00544E2D" w:rsidRPr="00B149BB" w:rsidRDefault="00544E2D" w:rsidP="00544E2D">
            <w:pPr>
              <w:spacing w:line="276" w:lineRule="auto"/>
              <w:rPr>
                <w:rFonts w:cs="Tahoma"/>
                <w:sz w:val="16"/>
                <w:szCs w:val="16"/>
              </w:rPr>
            </w:pPr>
          </w:p>
          <w:p w14:paraId="59755ECE" w14:textId="77777777" w:rsidR="00544E2D" w:rsidRPr="00B149BB" w:rsidRDefault="00544E2D" w:rsidP="00544E2D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B149BB">
              <w:rPr>
                <w:rFonts w:cs="Tahoma"/>
                <w:sz w:val="16"/>
                <w:szCs w:val="16"/>
              </w:rPr>
              <w:t>Do ponto de vista da gestão, a obra promove melhor aproveitamento da equipe técnica e administrativa do Município, que poderá acompanhar a execução de maneira mais ágil e eficiente, concentrando esforços em um único processo fiscalizatório. Essa sistemática favorece a transparência, a celeridade dos serviços e a entrega de resultados de maior impacto para a população, refletindo diretamente em qualidade de vida, segurança viária e valorização urbana.</w:t>
            </w:r>
          </w:p>
          <w:p w14:paraId="06C2E7F8" w14:textId="77777777" w:rsidR="00544E2D" w:rsidRPr="00B149BB" w:rsidRDefault="00544E2D" w:rsidP="00544E2D">
            <w:pPr>
              <w:spacing w:line="276" w:lineRule="auto"/>
              <w:rPr>
                <w:rFonts w:cs="Tahoma"/>
                <w:sz w:val="16"/>
                <w:szCs w:val="16"/>
              </w:rPr>
            </w:pPr>
          </w:p>
          <w:p w14:paraId="52938ABC" w14:textId="77777777" w:rsidR="00652C00" w:rsidRPr="00B149BB" w:rsidRDefault="00544E2D" w:rsidP="00544E2D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B149BB">
              <w:rPr>
                <w:rFonts w:cs="Tahoma"/>
                <w:sz w:val="16"/>
                <w:szCs w:val="16"/>
              </w:rPr>
              <w:t>Assim, os resultados pretendidos alinham-se ao princípio da economicidade e ao dever de garantir eficiência no gasto público, assegurando uma infraestrutura completa e duradoura, obtida com a melhor relação custo-benefício possível para o Município de Imigrante/RS.</w:t>
            </w:r>
          </w:p>
          <w:p w14:paraId="2E39FD1F" w14:textId="540EB070" w:rsidR="00544E2D" w:rsidRPr="00B149BB" w:rsidRDefault="00544E2D" w:rsidP="00544E2D">
            <w:pPr>
              <w:spacing w:line="276" w:lineRule="auto"/>
              <w:rPr>
                <w:rFonts w:cs="Tahoma"/>
                <w:sz w:val="16"/>
                <w:szCs w:val="16"/>
              </w:rPr>
            </w:pPr>
          </w:p>
        </w:tc>
      </w:tr>
    </w:tbl>
    <w:p w14:paraId="5284EC27" w14:textId="77777777" w:rsidR="008F76F3" w:rsidRPr="00B149BB" w:rsidRDefault="008F76F3" w:rsidP="008F76F3">
      <w:pPr>
        <w:spacing w:after="0" w:line="276" w:lineRule="auto"/>
        <w:rPr>
          <w:rFonts w:eastAsia="Times New Roman" w:cs="Tahoma"/>
          <w:i/>
          <w:sz w:val="16"/>
          <w:szCs w:val="16"/>
          <w:lang w:eastAsia="pt-BR"/>
        </w:rPr>
      </w:pPr>
      <w:r w:rsidRPr="00B149BB">
        <w:rPr>
          <w:rFonts w:eastAsia="Times New Roman" w:cs="Tahoma"/>
          <w:i/>
          <w:sz w:val="16"/>
          <w:szCs w:val="16"/>
          <w:lang w:eastAsia="pt-BR"/>
        </w:rPr>
        <w:t xml:space="preserve"> </w:t>
      </w: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B149BB" w14:paraId="3675C491" w14:textId="77777777" w:rsidTr="007F065B">
        <w:tc>
          <w:tcPr>
            <w:tcW w:w="10201" w:type="dxa"/>
          </w:tcPr>
          <w:p w14:paraId="506464A4" w14:textId="77777777" w:rsidR="008F76F3" w:rsidRPr="00B149BB" w:rsidRDefault="008F76F3" w:rsidP="00251A32">
            <w:pPr>
              <w:shd w:val="clear" w:color="auto" w:fill="FFFFFF"/>
              <w:spacing w:line="276" w:lineRule="auto"/>
              <w:textAlignment w:val="baseline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149BB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10 – PROVIDÊNCIAS PRÉVIAS AO CONTRATO</w:t>
            </w:r>
          </w:p>
        </w:tc>
      </w:tr>
      <w:tr w:rsidR="008F76F3" w:rsidRPr="00B149BB" w14:paraId="0577C84C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5F02B21C" w14:textId="77777777" w:rsidR="008F76F3" w:rsidRPr="00B149BB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B149BB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B149BB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Providências a serem adotadas pela administração previamente à celebração do contrato, inclusive quanto à capacitação de servidores ou de empregados para fiscalização e gestão contratual (inciso X do § 1° do art. 18 da Lei 14.133/21); </w:t>
            </w:r>
          </w:p>
        </w:tc>
      </w:tr>
      <w:tr w:rsidR="008F76F3" w:rsidRPr="00B149BB" w14:paraId="788C998C" w14:textId="77777777" w:rsidTr="007F065B">
        <w:tc>
          <w:tcPr>
            <w:tcW w:w="10201" w:type="dxa"/>
          </w:tcPr>
          <w:p w14:paraId="5F4BC334" w14:textId="52865003" w:rsidR="008F76F3" w:rsidRPr="00B149BB" w:rsidRDefault="006E3145" w:rsidP="00251A32">
            <w:pPr>
              <w:spacing w:line="276" w:lineRule="auto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B149BB">
              <w:rPr>
                <w:rFonts w:cs="Tahoma"/>
                <w:sz w:val="16"/>
                <w:szCs w:val="16"/>
              </w:rPr>
              <w:t>Não foram identificadas providências prévias a serem tomadas anteriormente ao contrato.</w:t>
            </w:r>
          </w:p>
        </w:tc>
      </w:tr>
    </w:tbl>
    <w:p w14:paraId="44EB9322" w14:textId="77777777" w:rsidR="008F76F3" w:rsidRPr="00B149BB" w:rsidRDefault="008F76F3" w:rsidP="008F76F3">
      <w:pPr>
        <w:spacing w:after="0" w:line="276" w:lineRule="auto"/>
        <w:rPr>
          <w:rFonts w:cs="Tahoma"/>
          <w:color w:val="FF0000"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B149BB" w14:paraId="515B6EF4" w14:textId="77777777" w:rsidTr="007F065B">
        <w:tc>
          <w:tcPr>
            <w:tcW w:w="10201" w:type="dxa"/>
          </w:tcPr>
          <w:p w14:paraId="1C78622F" w14:textId="77777777" w:rsidR="008F76F3" w:rsidRPr="00B149BB" w:rsidRDefault="008F76F3" w:rsidP="00251A32">
            <w:pPr>
              <w:shd w:val="clear" w:color="auto" w:fill="FFFFFF"/>
              <w:spacing w:line="276" w:lineRule="auto"/>
              <w:textAlignment w:val="baseline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149BB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11 – CONTRATAÇÕES CORRELATAS/INTERDEPENDENTES</w:t>
            </w:r>
          </w:p>
        </w:tc>
      </w:tr>
      <w:tr w:rsidR="008F76F3" w:rsidRPr="00B149BB" w14:paraId="455DD9E4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3BBC643A" w14:textId="77777777" w:rsidR="008F76F3" w:rsidRPr="00B149BB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B149BB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B149BB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Contratações correlatas e/ou interdependentes (inciso XI do § 1° do art. 18 da Lei 14.133/21);</w:t>
            </w:r>
          </w:p>
        </w:tc>
      </w:tr>
      <w:tr w:rsidR="008F76F3" w:rsidRPr="00B149BB" w14:paraId="1A83E025" w14:textId="77777777" w:rsidTr="007F065B">
        <w:tc>
          <w:tcPr>
            <w:tcW w:w="10201" w:type="dxa"/>
          </w:tcPr>
          <w:p w14:paraId="3C7CCAFB" w14:textId="30469156" w:rsidR="008F76F3" w:rsidRPr="00B149BB" w:rsidRDefault="006E3145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B149BB">
              <w:rPr>
                <w:rFonts w:cs="Tahoma"/>
                <w:sz w:val="16"/>
                <w:szCs w:val="16"/>
              </w:rPr>
              <w:t>Este estudo não identificou a necessidade de realizar contratações acessórias para a perfeita execução do objeto, uma vez que todos os meios necessários para a aquisição podem ser supridos apenas com a contratação ora proposta.</w:t>
            </w:r>
          </w:p>
        </w:tc>
      </w:tr>
    </w:tbl>
    <w:p w14:paraId="503AA091" w14:textId="77777777" w:rsidR="008F76F3" w:rsidRPr="00B149BB" w:rsidRDefault="008F76F3" w:rsidP="008F76F3">
      <w:pPr>
        <w:spacing w:after="0" w:line="276" w:lineRule="auto"/>
        <w:rPr>
          <w:rFonts w:eastAsia="Times New Roman" w:cs="Tahoma"/>
          <w:sz w:val="16"/>
          <w:szCs w:val="16"/>
          <w:lang w:eastAsia="pt-BR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7B6DA9" w:rsidRPr="00B149BB" w14:paraId="3D90EBFB" w14:textId="77777777" w:rsidTr="007F065B">
        <w:tc>
          <w:tcPr>
            <w:tcW w:w="10201" w:type="dxa"/>
          </w:tcPr>
          <w:p w14:paraId="742EAC32" w14:textId="77777777" w:rsidR="008F76F3" w:rsidRPr="00B149BB" w:rsidRDefault="008F76F3" w:rsidP="00251A32">
            <w:pPr>
              <w:spacing w:line="276" w:lineRule="auto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B149BB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12 – IMPACTOS AMBIENTAIS</w:t>
            </w:r>
          </w:p>
        </w:tc>
      </w:tr>
      <w:tr w:rsidR="007B6DA9" w:rsidRPr="00B149BB" w14:paraId="22D5FB8B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7BB9D2B9" w14:textId="77777777" w:rsidR="008F76F3" w:rsidRPr="00B149BB" w:rsidRDefault="008F76F3" w:rsidP="00251A32">
            <w:pPr>
              <w:spacing w:line="276" w:lineRule="auto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B149BB">
              <w:rPr>
                <w:rFonts w:eastAsia="Times New Roman" w:cs="Tahoma"/>
                <w:bCs/>
                <w:sz w:val="16"/>
                <w:szCs w:val="16"/>
                <w:lang w:eastAsia="pt-BR"/>
              </w:rPr>
              <w:t xml:space="preserve">Fundamentação: </w:t>
            </w:r>
            <w:r w:rsidRPr="00B149BB">
              <w:rPr>
                <w:rFonts w:cs="Tahoma"/>
                <w:sz w:val="16"/>
                <w:szCs w:val="16"/>
              </w:rPr>
              <w:t>Descrição de possíveis impactos ambientais e respectivas medidas mitigadoras, incluídos requisitos de baixo consumo de energia e de outros recursos, bem como logística reversa para desfazimento e reciclagem de bens e refugos, quando aplicável (</w:t>
            </w:r>
            <w:r w:rsidRPr="00B149BB">
              <w:rPr>
                <w:rFonts w:eastAsia="Times New Roman" w:cs="Tahoma"/>
                <w:sz w:val="16"/>
                <w:szCs w:val="16"/>
                <w:lang w:eastAsia="pt-BR"/>
              </w:rPr>
              <w:t>inciso XII do § 1° do art. 18 da Lei 14.133/21);</w:t>
            </w:r>
          </w:p>
        </w:tc>
      </w:tr>
      <w:tr w:rsidR="007B6DA9" w:rsidRPr="00B149BB" w14:paraId="0DDD108A" w14:textId="77777777" w:rsidTr="007F065B">
        <w:tc>
          <w:tcPr>
            <w:tcW w:w="10201" w:type="dxa"/>
          </w:tcPr>
          <w:p w14:paraId="763145EB" w14:textId="6FCF8C0B" w:rsidR="007B6DA9" w:rsidRPr="00B149BB" w:rsidRDefault="007B6DA9" w:rsidP="00B862D0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B149BB">
              <w:rPr>
                <w:rFonts w:cs="Tahoma"/>
                <w:sz w:val="16"/>
                <w:szCs w:val="16"/>
              </w:rPr>
              <w:t xml:space="preserve">Conforme </w:t>
            </w:r>
            <w:r w:rsidR="0082345C" w:rsidRPr="00B149BB">
              <w:rPr>
                <w:rFonts w:cs="Tahoma"/>
                <w:sz w:val="16"/>
                <w:szCs w:val="16"/>
              </w:rPr>
              <w:t>Licença</w:t>
            </w:r>
            <w:r w:rsidRPr="00B149BB">
              <w:rPr>
                <w:rFonts w:cs="Tahoma"/>
                <w:sz w:val="16"/>
                <w:szCs w:val="16"/>
              </w:rPr>
              <w:t xml:space="preserve"> Ambiental</w:t>
            </w:r>
            <w:r w:rsidR="0082345C" w:rsidRPr="00B149BB">
              <w:rPr>
                <w:rFonts w:cs="Tahoma"/>
                <w:sz w:val="16"/>
                <w:szCs w:val="16"/>
              </w:rPr>
              <w:t xml:space="preserve"> de Instalação</w:t>
            </w:r>
            <w:r w:rsidRPr="00B149BB">
              <w:rPr>
                <w:rFonts w:cs="Tahoma"/>
                <w:sz w:val="16"/>
                <w:szCs w:val="16"/>
              </w:rPr>
              <w:t xml:space="preserve"> emitido pelo Departamento de Meio Ambiente do município, </w:t>
            </w:r>
            <w:r w:rsidR="0082345C" w:rsidRPr="00B149BB">
              <w:rPr>
                <w:rFonts w:cs="Tahoma"/>
                <w:sz w:val="16"/>
                <w:szCs w:val="16"/>
              </w:rPr>
              <w:t xml:space="preserve">com </w:t>
            </w:r>
            <w:r w:rsidR="0082345C" w:rsidRPr="008E681D">
              <w:rPr>
                <w:rFonts w:cs="Tahoma"/>
                <w:sz w:val="16"/>
                <w:szCs w:val="16"/>
              </w:rPr>
              <w:t xml:space="preserve">número </w:t>
            </w:r>
            <w:r w:rsidR="008C54C2" w:rsidRPr="008E681D">
              <w:rPr>
                <w:rFonts w:cs="Tahoma"/>
                <w:sz w:val="16"/>
                <w:szCs w:val="16"/>
              </w:rPr>
              <w:t>01</w:t>
            </w:r>
            <w:r w:rsidR="008E681D" w:rsidRPr="008E681D">
              <w:rPr>
                <w:rFonts w:cs="Tahoma"/>
                <w:sz w:val="16"/>
                <w:szCs w:val="16"/>
              </w:rPr>
              <w:t>5</w:t>
            </w:r>
            <w:r w:rsidR="0082345C" w:rsidRPr="008E681D">
              <w:rPr>
                <w:rFonts w:cs="Tahoma"/>
                <w:sz w:val="16"/>
                <w:szCs w:val="16"/>
              </w:rPr>
              <w:t>/2025</w:t>
            </w:r>
            <w:r w:rsidRPr="00A36D98">
              <w:rPr>
                <w:rFonts w:cs="Tahoma"/>
                <w:sz w:val="16"/>
                <w:szCs w:val="16"/>
              </w:rPr>
              <w:t>, e</w:t>
            </w:r>
            <w:r w:rsidRPr="00B149BB">
              <w:rPr>
                <w:rFonts w:cs="Tahoma"/>
                <w:sz w:val="16"/>
                <w:szCs w:val="16"/>
              </w:rPr>
              <w:t xml:space="preserve"> em anexo a este processo licitatório.</w:t>
            </w:r>
          </w:p>
          <w:p w14:paraId="061FD28D" w14:textId="3044C855" w:rsidR="008F76F3" w:rsidRPr="00B149BB" w:rsidRDefault="00B862D0" w:rsidP="007B6DA9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B149BB">
              <w:rPr>
                <w:rFonts w:cs="Tahoma"/>
                <w:sz w:val="16"/>
                <w:szCs w:val="16"/>
              </w:rPr>
              <w:t xml:space="preserve">Os entulhos e resíduos gerados pelas obras em questão deverão ser recolhidos e destinados pela empresa contratada conforme previsão em </w:t>
            </w:r>
            <w:r w:rsidR="0082345C" w:rsidRPr="00B149BB">
              <w:rPr>
                <w:rFonts w:cs="Tahoma"/>
                <w:sz w:val="16"/>
                <w:szCs w:val="16"/>
              </w:rPr>
              <w:t xml:space="preserve">Licença </w:t>
            </w:r>
            <w:r w:rsidR="007B6DA9" w:rsidRPr="00B149BB">
              <w:rPr>
                <w:rFonts w:cs="Tahoma"/>
                <w:sz w:val="16"/>
                <w:szCs w:val="16"/>
              </w:rPr>
              <w:t>Ambiental</w:t>
            </w:r>
            <w:r w:rsidR="0082345C" w:rsidRPr="00B149BB">
              <w:rPr>
                <w:rFonts w:cs="Tahoma"/>
                <w:sz w:val="16"/>
                <w:szCs w:val="16"/>
              </w:rPr>
              <w:t xml:space="preserve"> de Instalação</w:t>
            </w:r>
            <w:r w:rsidR="007B6DA9" w:rsidRPr="00B149BB">
              <w:rPr>
                <w:rFonts w:cs="Tahoma"/>
                <w:sz w:val="16"/>
                <w:szCs w:val="16"/>
              </w:rPr>
              <w:t>.</w:t>
            </w:r>
          </w:p>
        </w:tc>
      </w:tr>
    </w:tbl>
    <w:p w14:paraId="7D6063B3" w14:textId="77777777" w:rsidR="00492710" w:rsidRPr="00B149BB" w:rsidRDefault="00492710" w:rsidP="0003349C">
      <w:pPr>
        <w:spacing w:after="0" w:line="276" w:lineRule="auto"/>
        <w:ind w:firstLine="0"/>
        <w:rPr>
          <w:rFonts w:eastAsia="Times New Roman" w:cs="Tahoma"/>
          <w:color w:val="000000"/>
          <w:sz w:val="16"/>
          <w:szCs w:val="16"/>
          <w:lang w:eastAsia="pt-BR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B149BB" w14:paraId="1DAC76C7" w14:textId="77777777" w:rsidTr="007F065B">
        <w:tc>
          <w:tcPr>
            <w:tcW w:w="10201" w:type="dxa"/>
          </w:tcPr>
          <w:p w14:paraId="74ACA114" w14:textId="77777777" w:rsidR="008F76F3" w:rsidRPr="00B149BB" w:rsidRDefault="008F76F3" w:rsidP="00251A32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  <w:r w:rsidRPr="00B149BB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13 – VIABILIDADE DA CONTRATAÇÃO</w:t>
            </w:r>
          </w:p>
        </w:tc>
      </w:tr>
      <w:tr w:rsidR="008F76F3" w:rsidRPr="00B149BB" w14:paraId="72CA4F45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7C55632A" w14:textId="77777777" w:rsidR="008F76F3" w:rsidRPr="00B149BB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B149BB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B149BB">
              <w:rPr>
                <w:rFonts w:cs="Tahoma"/>
                <w:sz w:val="16"/>
                <w:szCs w:val="16"/>
              </w:rPr>
              <w:t>Posicionamento conclusivo sobre a adequação da contratação para o atendimento da necessidade a que se destina</w:t>
            </w:r>
            <w:r w:rsidRPr="00B149BB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 (inciso XIII do § 1° do art. 18 da Lei 14.133/21); </w:t>
            </w:r>
          </w:p>
        </w:tc>
      </w:tr>
      <w:tr w:rsidR="008F76F3" w:rsidRPr="00B149BB" w14:paraId="56CC54A4" w14:textId="77777777" w:rsidTr="007F065B">
        <w:tc>
          <w:tcPr>
            <w:tcW w:w="10201" w:type="dxa"/>
          </w:tcPr>
          <w:p w14:paraId="56500493" w14:textId="084BFC4B" w:rsidR="008F76F3" w:rsidRPr="00CA1F38" w:rsidRDefault="00C14A53" w:rsidP="00CA1F38">
            <w:pPr>
              <w:autoSpaceDE w:val="0"/>
              <w:autoSpaceDN w:val="0"/>
              <w:adjustRightInd w:val="0"/>
              <w:spacing w:after="0"/>
              <w:ind w:firstLine="0"/>
              <w:contextualSpacing w:val="0"/>
              <w:rPr>
                <w:rFonts w:eastAsia="Times New Roman" w:cs="Tahoma"/>
                <w:color w:val="0A0A0A"/>
                <w:sz w:val="16"/>
                <w:szCs w:val="16"/>
                <w:highlight w:val="yellow"/>
                <w:lang w:eastAsia="pt-BR"/>
              </w:rPr>
            </w:pPr>
            <w:r w:rsidRPr="003B05D2">
              <w:rPr>
                <w:rFonts w:cs="Tahoma"/>
                <w:sz w:val="16"/>
                <w:szCs w:val="16"/>
              </w:rPr>
              <w:t>Conclui-se pela viabilidade da contratação, c</w:t>
            </w:r>
            <w:r w:rsidR="0003791A" w:rsidRPr="003B05D2">
              <w:rPr>
                <w:rFonts w:cs="Tahoma"/>
                <w:sz w:val="16"/>
                <w:szCs w:val="16"/>
              </w:rPr>
              <w:t>om base na justificativa apresentada, descrição da necessidade, estimativa e requisitos dos itens</w:t>
            </w:r>
            <w:r w:rsidRPr="003B05D2">
              <w:rPr>
                <w:rFonts w:cs="Tahoma"/>
                <w:sz w:val="16"/>
                <w:szCs w:val="16"/>
              </w:rPr>
              <w:t>.</w:t>
            </w:r>
            <w:r w:rsidR="0003791A" w:rsidRPr="003B05D2">
              <w:rPr>
                <w:rFonts w:cs="Tahoma"/>
                <w:sz w:val="16"/>
                <w:szCs w:val="16"/>
              </w:rPr>
              <w:t xml:space="preserve"> </w:t>
            </w:r>
            <w:r w:rsidRPr="003B05D2">
              <w:rPr>
                <w:rFonts w:cs="Tahoma"/>
                <w:sz w:val="16"/>
                <w:szCs w:val="16"/>
              </w:rPr>
              <w:t>A</w:t>
            </w:r>
            <w:r w:rsidR="0003791A" w:rsidRPr="003B05D2">
              <w:rPr>
                <w:rFonts w:cs="Tahoma"/>
                <w:sz w:val="16"/>
                <w:szCs w:val="16"/>
              </w:rPr>
              <w:t xml:space="preserve"> contratação </w:t>
            </w:r>
            <w:r w:rsidRPr="003B05D2">
              <w:rPr>
                <w:rFonts w:cs="Tahoma"/>
                <w:sz w:val="16"/>
                <w:szCs w:val="16"/>
              </w:rPr>
              <w:t>de empresa</w:t>
            </w:r>
            <w:r w:rsidR="0003791A" w:rsidRPr="003B05D2">
              <w:rPr>
                <w:rFonts w:cs="Tahoma"/>
                <w:sz w:val="16"/>
                <w:szCs w:val="16"/>
              </w:rPr>
              <w:t xml:space="preserve"> </w:t>
            </w:r>
            <w:r w:rsidRPr="003B05D2">
              <w:rPr>
                <w:rFonts w:cs="Tahoma"/>
                <w:sz w:val="16"/>
                <w:szCs w:val="16"/>
              </w:rPr>
              <w:t xml:space="preserve">para </w:t>
            </w:r>
            <w:r w:rsidR="007B6DA9" w:rsidRPr="003B05D2">
              <w:rPr>
                <w:rFonts w:cs="Tahoma"/>
                <w:sz w:val="16"/>
                <w:szCs w:val="16"/>
              </w:rPr>
              <w:t>executar</w:t>
            </w:r>
            <w:r w:rsidR="0062424C" w:rsidRPr="003B05D2">
              <w:rPr>
                <w:rFonts w:cs="Tahoma"/>
                <w:sz w:val="16"/>
                <w:szCs w:val="16"/>
              </w:rPr>
              <w:t xml:space="preserve"> </w:t>
            </w:r>
            <w:r w:rsidR="00515F29" w:rsidRPr="003B05D2">
              <w:rPr>
                <w:rFonts w:cs="Tahoma"/>
                <w:sz w:val="16"/>
                <w:szCs w:val="16"/>
              </w:rPr>
              <w:t>a</w:t>
            </w:r>
            <w:r w:rsidR="00CA1F38" w:rsidRPr="003B05D2">
              <w:rPr>
                <w:rFonts w:cs="Tahoma"/>
                <w:sz w:val="16"/>
                <w:szCs w:val="16"/>
              </w:rPr>
              <w:t xml:space="preserve"> </w:t>
            </w:r>
            <w:r w:rsidR="00230BD4" w:rsidRPr="003B05D2">
              <w:rPr>
                <w:rFonts w:cs="Tahoma"/>
                <w:sz w:val="16"/>
                <w:szCs w:val="16"/>
              </w:rPr>
              <w:t xml:space="preserve">reconstrução da ciclovia na VRS-863, denominada Rodovia Paulo Gilberto Altmann conhecida como “Estrada do Perau”, </w:t>
            </w:r>
            <w:r w:rsidR="0034757F" w:rsidRPr="003B05D2">
              <w:rPr>
                <w:rFonts w:cs="Tahoma"/>
                <w:sz w:val="16"/>
                <w:szCs w:val="16"/>
              </w:rPr>
              <w:t>visa promover a execução de uma infraestrutura adequada.</w:t>
            </w:r>
            <w:r w:rsidR="0003791A" w:rsidRPr="003B05D2">
              <w:rPr>
                <w:rFonts w:cs="Tahoma"/>
                <w:sz w:val="16"/>
                <w:szCs w:val="16"/>
              </w:rPr>
              <w:t xml:space="preserve"> </w:t>
            </w:r>
            <w:r w:rsidR="0034757F" w:rsidRPr="003B05D2"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  <w:t>Em resumo,</w:t>
            </w:r>
            <w:r w:rsidR="00CA1F38" w:rsidRPr="003B05D2">
              <w:rPr>
                <w:rFonts w:eastAsia="Times New Roman" w:cs="Tahoma"/>
                <w:color w:val="0A0A0A"/>
                <w:sz w:val="16"/>
                <w:szCs w:val="16"/>
                <w:lang w:eastAsia="pt-BR"/>
              </w:rPr>
              <w:t xml:space="preserve"> a reconstrução e manutenção das ciclovias são investimentos cruciais que refletem diretamente na qualidade de vida da população e na construção de cidades mais inteligentes, humanas e sustentáveis.</w:t>
            </w:r>
          </w:p>
        </w:tc>
      </w:tr>
    </w:tbl>
    <w:p w14:paraId="77D7FE3A" w14:textId="77777777" w:rsidR="008F76F3" w:rsidRPr="00B149BB" w:rsidRDefault="008F76F3" w:rsidP="008F76F3">
      <w:pPr>
        <w:spacing w:after="0" w:line="276" w:lineRule="auto"/>
        <w:rPr>
          <w:rFonts w:cs="Tahoma"/>
          <w:sz w:val="16"/>
          <w:szCs w:val="16"/>
        </w:rPr>
      </w:pPr>
    </w:p>
    <w:p w14:paraId="35FD35AA" w14:textId="77777777" w:rsidR="00F732D3" w:rsidRPr="00B149BB" w:rsidRDefault="00F732D3" w:rsidP="008F76F3">
      <w:pPr>
        <w:spacing w:after="0" w:line="276" w:lineRule="auto"/>
        <w:jc w:val="right"/>
        <w:rPr>
          <w:rFonts w:cs="Tahoma"/>
          <w:sz w:val="16"/>
          <w:szCs w:val="16"/>
        </w:rPr>
      </w:pPr>
    </w:p>
    <w:p w14:paraId="3A7AD444" w14:textId="3732A682" w:rsidR="008F76F3" w:rsidRPr="00B149BB" w:rsidRDefault="00F732D3" w:rsidP="008F76F3">
      <w:pPr>
        <w:spacing w:after="0" w:line="276" w:lineRule="auto"/>
        <w:jc w:val="right"/>
        <w:rPr>
          <w:rFonts w:cs="Tahoma"/>
          <w:sz w:val="16"/>
          <w:szCs w:val="16"/>
        </w:rPr>
      </w:pPr>
      <w:r w:rsidRPr="00A95FFE">
        <w:rPr>
          <w:rFonts w:cs="Tahoma"/>
          <w:sz w:val="16"/>
          <w:szCs w:val="16"/>
        </w:rPr>
        <w:t xml:space="preserve">Imigrante, </w:t>
      </w:r>
      <w:r w:rsidR="00A9159D">
        <w:rPr>
          <w:rFonts w:cs="Tahoma"/>
          <w:sz w:val="16"/>
          <w:szCs w:val="16"/>
        </w:rPr>
        <w:t>08</w:t>
      </w:r>
      <w:r w:rsidR="008F7703">
        <w:rPr>
          <w:rFonts w:cs="Tahoma"/>
          <w:sz w:val="16"/>
          <w:szCs w:val="16"/>
        </w:rPr>
        <w:t xml:space="preserve"> de janeiro de 2026</w:t>
      </w:r>
    </w:p>
    <w:p w14:paraId="0EDD2F43" w14:textId="566AE8B7" w:rsidR="007B6DA9" w:rsidRPr="00B149BB" w:rsidRDefault="007B6DA9" w:rsidP="008F76F3">
      <w:pPr>
        <w:spacing w:after="0" w:line="276" w:lineRule="auto"/>
        <w:jc w:val="right"/>
        <w:rPr>
          <w:rFonts w:cs="Tahoma"/>
          <w:sz w:val="16"/>
          <w:szCs w:val="16"/>
        </w:rPr>
      </w:pPr>
    </w:p>
    <w:p w14:paraId="5E6EAA57" w14:textId="5689C118" w:rsidR="007B6DA9" w:rsidRPr="00B149BB" w:rsidRDefault="007B6DA9" w:rsidP="008F76F3">
      <w:pPr>
        <w:spacing w:after="0" w:line="276" w:lineRule="auto"/>
        <w:jc w:val="right"/>
        <w:rPr>
          <w:rFonts w:cs="Tahoma"/>
          <w:sz w:val="16"/>
          <w:szCs w:val="16"/>
        </w:rPr>
      </w:pPr>
    </w:p>
    <w:p w14:paraId="2C468F30" w14:textId="77777777" w:rsidR="00F732D3" w:rsidRPr="00B149BB" w:rsidRDefault="00F732D3" w:rsidP="008F76F3">
      <w:pPr>
        <w:spacing w:after="0" w:line="276" w:lineRule="auto"/>
        <w:jc w:val="right"/>
        <w:rPr>
          <w:rFonts w:cs="Tahoma"/>
          <w:sz w:val="16"/>
          <w:szCs w:val="16"/>
        </w:rPr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067"/>
      </w:tblGrid>
      <w:tr w:rsidR="00F732D3" w:rsidRPr="00B149BB" w14:paraId="1A8BD1A8" w14:textId="77777777" w:rsidTr="00793301">
        <w:tc>
          <w:tcPr>
            <w:tcW w:w="6067" w:type="dxa"/>
            <w:tcBorders>
              <w:bottom w:val="single" w:sz="4" w:space="0" w:color="auto"/>
            </w:tcBorders>
            <w:shd w:val="clear" w:color="auto" w:fill="auto"/>
          </w:tcPr>
          <w:p w14:paraId="4790D6C3" w14:textId="77777777" w:rsidR="00F732D3" w:rsidRPr="00B149BB" w:rsidRDefault="00F732D3" w:rsidP="00793301">
            <w:pPr>
              <w:tabs>
                <w:tab w:val="left" w:pos="1935"/>
              </w:tabs>
              <w:ind w:left="-142" w:firstLine="0"/>
            </w:pPr>
          </w:p>
        </w:tc>
      </w:tr>
      <w:tr w:rsidR="00F732D3" w:rsidRPr="00B149BB" w14:paraId="18113C13" w14:textId="77777777" w:rsidTr="00793301">
        <w:tc>
          <w:tcPr>
            <w:tcW w:w="60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F6D335" w14:textId="58E15022" w:rsidR="00F732D3" w:rsidRPr="00B149BB" w:rsidRDefault="000D72A5" w:rsidP="00793301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 w:rsidRPr="00B149BB">
              <w:rPr>
                <w:b/>
                <w:bCs/>
              </w:rPr>
              <w:t>LUIS CARLOS DEMARI</w:t>
            </w:r>
          </w:p>
        </w:tc>
      </w:tr>
      <w:tr w:rsidR="00F732D3" w14:paraId="513A8FFC" w14:textId="77777777" w:rsidTr="00793301">
        <w:tc>
          <w:tcPr>
            <w:tcW w:w="6067" w:type="dxa"/>
            <w:shd w:val="clear" w:color="auto" w:fill="auto"/>
            <w:vAlign w:val="center"/>
          </w:tcPr>
          <w:p w14:paraId="205AAA0E" w14:textId="13A54DB7" w:rsidR="00F732D3" w:rsidRPr="00291F02" w:rsidRDefault="00F732D3" w:rsidP="00291F02">
            <w:pPr>
              <w:tabs>
                <w:tab w:val="left" w:pos="1935"/>
              </w:tabs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B149BB">
              <w:rPr>
                <w:rFonts w:cs="Tahoma"/>
                <w:sz w:val="16"/>
                <w:szCs w:val="16"/>
              </w:rPr>
              <w:t>Secretário Municipal de Obras e Mobilidade Urbana</w:t>
            </w:r>
          </w:p>
        </w:tc>
      </w:tr>
    </w:tbl>
    <w:p w14:paraId="186E9E46" w14:textId="459D7709" w:rsidR="00F732D3" w:rsidRDefault="00F732D3" w:rsidP="00F732D3">
      <w:pPr>
        <w:spacing w:after="0"/>
        <w:jc w:val="center"/>
      </w:pPr>
    </w:p>
    <w:p w14:paraId="44EC7E4B" w14:textId="3FB5DDE9" w:rsidR="007B6DA9" w:rsidRDefault="007B6DA9" w:rsidP="00F732D3">
      <w:pPr>
        <w:spacing w:after="0"/>
        <w:jc w:val="center"/>
      </w:pPr>
    </w:p>
    <w:p w14:paraId="3F0F053E" w14:textId="77777777" w:rsidR="007B6DA9" w:rsidRPr="008F76F3" w:rsidRDefault="007B6DA9" w:rsidP="00F732D3">
      <w:pPr>
        <w:spacing w:after="0"/>
        <w:jc w:val="center"/>
      </w:pPr>
    </w:p>
    <w:sectPr w:rsidR="007B6DA9" w:rsidRPr="008F76F3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9D112" w14:textId="77777777" w:rsidR="00700112" w:rsidRDefault="00700112" w:rsidP="009F2D5E">
      <w:pPr>
        <w:spacing w:after="0"/>
      </w:pPr>
      <w:r>
        <w:separator/>
      </w:r>
    </w:p>
  </w:endnote>
  <w:endnote w:type="continuationSeparator" w:id="0">
    <w:p w14:paraId="475FD06D" w14:textId="77777777" w:rsidR="00700112" w:rsidRDefault="00700112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CIDFont+F2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4AD3E" w14:textId="77777777" w:rsidR="00700112" w:rsidRDefault="00700112" w:rsidP="009F2D5E">
      <w:pPr>
        <w:spacing w:after="0"/>
      </w:pPr>
      <w:r>
        <w:separator/>
      </w:r>
    </w:p>
  </w:footnote>
  <w:footnote w:type="continuationSeparator" w:id="0">
    <w:p w14:paraId="47F0A973" w14:textId="77777777" w:rsidR="00700112" w:rsidRDefault="00700112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52E7637B" w14:textId="77777777" w:rsidR="006B1672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  <w:p w14:paraId="62003A3B" w14:textId="0B1A73F4" w:rsidR="006B1672" w:rsidRDefault="006B1672" w:rsidP="00D15024">
          <w:pPr>
            <w:pStyle w:val="Cabealho"/>
            <w:ind w:firstLine="0"/>
          </w:pP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AE1C09"/>
    <w:multiLevelType w:val="hybridMultilevel"/>
    <w:tmpl w:val="12E42A1C"/>
    <w:lvl w:ilvl="0" w:tplc="A5D8FDCC">
      <w:numFmt w:val="bullet"/>
      <w:lvlText w:val=""/>
      <w:lvlJc w:val="left"/>
      <w:pPr>
        <w:ind w:left="644" w:hanging="360"/>
      </w:pPr>
      <w:rPr>
        <w:rFonts w:ascii="Symbol" w:eastAsiaTheme="minorHAnsi" w:hAnsi="Symbol" w:cs="Tahoma" w:hint="default"/>
      </w:rPr>
    </w:lvl>
    <w:lvl w:ilvl="1" w:tplc="0416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5BE49278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13219BA"/>
    <w:multiLevelType w:val="multilevel"/>
    <w:tmpl w:val="3D8CB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6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0031C25"/>
    <w:multiLevelType w:val="multilevel"/>
    <w:tmpl w:val="B7720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1" w15:restartNumberingAfterBreak="0">
    <w:nsid w:val="77123935"/>
    <w:multiLevelType w:val="multilevel"/>
    <w:tmpl w:val="C40EE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0"/>
  </w:num>
  <w:num w:numId="6">
    <w:abstractNumId w:val="15"/>
  </w:num>
  <w:num w:numId="7">
    <w:abstractNumId w:val="20"/>
  </w:num>
  <w:num w:numId="8">
    <w:abstractNumId w:val="16"/>
  </w:num>
  <w:num w:numId="9">
    <w:abstractNumId w:val="22"/>
  </w:num>
  <w:num w:numId="10">
    <w:abstractNumId w:val="13"/>
  </w:num>
  <w:num w:numId="11">
    <w:abstractNumId w:val="19"/>
  </w:num>
  <w:num w:numId="12">
    <w:abstractNumId w:val="6"/>
  </w:num>
  <w:num w:numId="13">
    <w:abstractNumId w:val="4"/>
  </w:num>
  <w:num w:numId="14">
    <w:abstractNumId w:val="17"/>
  </w:num>
  <w:num w:numId="15">
    <w:abstractNumId w:val="14"/>
  </w:num>
  <w:num w:numId="16">
    <w:abstractNumId w:val="5"/>
  </w:num>
  <w:num w:numId="17">
    <w:abstractNumId w:val="7"/>
  </w:num>
  <w:num w:numId="18">
    <w:abstractNumId w:val="12"/>
  </w:num>
  <w:num w:numId="19">
    <w:abstractNumId w:val="1"/>
  </w:num>
  <w:num w:numId="20">
    <w:abstractNumId w:val="2"/>
  </w:num>
  <w:num w:numId="21">
    <w:abstractNumId w:val="21"/>
  </w:num>
  <w:num w:numId="22">
    <w:abstractNumId w:val="18"/>
  </w:num>
  <w:num w:numId="23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39C2"/>
    <w:rsid w:val="0002484E"/>
    <w:rsid w:val="00025308"/>
    <w:rsid w:val="000263A4"/>
    <w:rsid w:val="00027CAC"/>
    <w:rsid w:val="0003344D"/>
    <w:rsid w:val="0003349C"/>
    <w:rsid w:val="00033BD0"/>
    <w:rsid w:val="00035823"/>
    <w:rsid w:val="0003791A"/>
    <w:rsid w:val="00037953"/>
    <w:rsid w:val="00037DA5"/>
    <w:rsid w:val="00037E11"/>
    <w:rsid w:val="00037F83"/>
    <w:rsid w:val="000424DD"/>
    <w:rsid w:val="000453CF"/>
    <w:rsid w:val="000468D8"/>
    <w:rsid w:val="000477DA"/>
    <w:rsid w:val="00047C7B"/>
    <w:rsid w:val="0005008F"/>
    <w:rsid w:val="00053AEE"/>
    <w:rsid w:val="00055ACC"/>
    <w:rsid w:val="00056B79"/>
    <w:rsid w:val="0005728A"/>
    <w:rsid w:val="000607E0"/>
    <w:rsid w:val="00064F48"/>
    <w:rsid w:val="00066097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657"/>
    <w:rsid w:val="000B6DFC"/>
    <w:rsid w:val="000B71A7"/>
    <w:rsid w:val="000B78AA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D72A5"/>
    <w:rsid w:val="000E31E9"/>
    <w:rsid w:val="000E3599"/>
    <w:rsid w:val="000E4804"/>
    <w:rsid w:val="000E6B10"/>
    <w:rsid w:val="000E7C5C"/>
    <w:rsid w:val="000F0516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2764"/>
    <w:rsid w:val="00114696"/>
    <w:rsid w:val="00114881"/>
    <w:rsid w:val="00115935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841"/>
    <w:rsid w:val="00150D3C"/>
    <w:rsid w:val="001510D9"/>
    <w:rsid w:val="00152B20"/>
    <w:rsid w:val="00154C9D"/>
    <w:rsid w:val="00154D53"/>
    <w:rsid w:val="001557BF"/>
    <w:rsid w:val="00155C57"/>
    <w:rsid w:val="0015778E"/>
    <w:rsid w:val="001625F2"/>
    <w:rsid w:val="001627A9"/>
    <w:rsid w:val="00163DCB"/>
    <w:rsid w:val="00165058"/>
    <w:rsid w:val="001670F2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239"/>
    <w:rsid w:val="0019273D"/>
    <w:rsid w:val="0019508B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0F1"/>
    <w:rsid w:val="00213AD4"/>
    <w:rsid w:val="00213C72"/>
    <w:rsid w:val="00214C5A"/>
    <w:rsid w:val="00216CDE"/>
    <w:rsid w:val="00216D17"/>
    <w:rsid w:val="00220701"/>
    <w:rsid w:val="00230AFE"/>
    <w:rsid w:val="00230BD4"/>
    <w:rsid w:val="00231E3A"/>
    <w:rsid w:val="002323F0"/>
    <w:rsid w:val="002338BA"/>
    <w:rsid w:val="00233B50"/>
    <w:rsid w:val="002344C9"/>
    <w:rsid w:val="00234917"/>
    <w:rsid w:val="002474FB"/>
    <w:rsid w:val="00251212"/>
    <w:rsid w:val="002524A9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1F02"/>
    <w:rsid w:val="00292A43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3718"/>
    <w:rsid w:val="002D41EE"/>
    <w:rsid w:val="002D52D3"/>
    <w:rsid w:val="002D65CF"/>
    <w:rsid w:val="002D7887"/>
    <w:rsid w:val="002D7EDA"/>
    <w:rsid w:val="002E3A79"/>
    <w:rsid w:val="002E46A9"/>
    <w:rsid w:val="002E7D38"/>
    <w:rsid w:val="002F11B0"/>
    <w:rsid w:val="002F2904"/>
    <w:rsid w:val="002F36C5"/>
    <w:rsid w:val="002F4949"/>
    <w:rsid w:val="002F65C1"/>
    <w:rsid w:val="002F7AFA"/>
    <w:rsid w:val="002F7FC3"/>
    <w:rsid w:val="0030166E"/>
    <w:rsid w:val="00303043"/>
    <w:rsid w:val="00304062"/>
    <w:rsid w:val="00307B5B"/>
    <w:rsid w:val="0031014B"/>
    <w:rsid w:val="003107C3"/>
    <w:rsid w:val="00313D8C"/>
    <w:rsid w:val="003142B3"/>
    <w:rsid w:val="00316D1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8FB"/>
    <w:rsid w:val="00337C40"/>
    <w:rsid w:val="00341D11"/>
    <w:rsid w:val="003430F4"/>
    <w:rsid w:val="00343734"/>
    <w:rsid w:val="00344386"/>
    <w:rsid w:val="00345BDE"/>
    <w:rsid w:val="00347140"/>
    <w:rsid w:val="0034757F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2E0"/>
    <w:rsid w:val="00391F9D"/>
    <w:rsid w:val="00396F87"/>
    <w:rsid w:val="003971C8"/>
    <w:rsid w:val="003A1B17"/>
    <w:rsid w:val="003A1ED9"/>
    <w:rsid w:val="003A32B8"/>
    <w:rsid w:val="003A42DB"/>
    <w:rsid w:val="003A43EC"/>
    <w:rsid w:val="003A6E91"/>
    <w:rsid w:val="003A772A"/>
    <w:rsid w:val="003B05D2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D50F9"/>
    <w:rsid w:val="003E1137"/>
    <w:rsid w:val="003E383E"/>
    <w:rsid w:val="003E6632"/>
    <w:rsid w:val="003E6FF8"/>
    <w:rsid w:val="003F143E"/>
    <w:rsid w:val="003F1787"/>
    <w:rsid w:val="003F28C3"/>
    <w:rsid w:val="003F30DF"/>
    <w:rsid w:val="003F6F7A"/>
    <w:rsid w:val="003F7D96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1436"/>
    <w:rsid w:val="00422230"/>
    <w:rsid w:val="004229B9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A34"/>
    <w:rsid w:val="00476EA7"/>
    <w:rsid w:val="00481226"/>
    <w:rsid w:val="004832BE"/>
    <w:rsid w:val="00483D8A"/>
    <w:rsid w:val="004847CA"/>
    <w:rsid w:val="00485348"/>
    <w:rsid w:val="00485A20"/>
    <w:rsid w:val="00491E8D"/>
    <w:rsid w:val="00492710"/>
    <w:rsid w:val="0049620C"/>
    <w:rsid w:val="004A073E"/>
    <w:rsid w:val="004A2859"/>
    <w:rsid w:val="004A353F"/>
    <w:rsid w:val="004A5675"/>
    <w:rsid w:val="004A69A9"/>
    <w:rsid w:val="004B06CD"/>
    <w:rsid w:val="004B1FFE"/>
    <w:rsid w:val="004B29BC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9EC"/>
    <w:rsid w:val="004E6CC2"/>
    <w:rsid w:val="004E76FC"/>
    <w:rsid w:val="004F1A8F"/>
    <w:rsid w:val="004F232A"/>
    <w:rsid w:val="004F304F"/>
    <w:rsid w:val="004F47D4"/>
    <w:rsid w:val="004F494E"/>
    <w:rsid w:val="004F4E09"/>
    <w:rsid w:val="004F7059"/>
    <w:rsid w:val="004F705F"/>
    <w:rsid w:val="004F70F8"/>
    <w:rsid w:val="004F7D0A"/>
    <w:rsid w:val="00501F34"/>
    <w:rsid w:val="005036FE"/>
    <w:rsid w:val="0050534E"/>
    <w:rsid w:val="00511015"/>
    <w:rsid w:val="00511694"/>
    <w:rsid w:val="0051220D"/>
    <w:rsid w:val="00515F29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4E2D"/>
    <w:rsid w:val="005457E7"/>
    <w:rsid w:val="005507F4"/>
    <w:rsid w:val="005521E7"/>
    <w:rsid w:val="005552DE"/>
    <w:rsid w:val="00555EAD"/>
    <w:rsid w:val="005560EB"/>
    <w:rsid w:val="005573C4"/>
    <w:rsid w:val="00557CC2"/>
    <w:rsid w:val="00561178"/>
    <w:rsid w:val="00561EB6"/>
    <w:rsid w:val="00562E6B"/>
    <w:rsid w:val="00564C5A"/>
    <w:rsid w:val="00565963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53C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5A8B"/>
    <w:rsid w:val="005E6F17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AA6"/>
    <w:rsid w:val="00605EAB"/>
    <w:rsid w:val="00607A2E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3CC0"/>
    <w:rsid w:val="0062424C"/>
    <w:rsid w:val="006254B1"/>
    <w:rsid w:val="0062557D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2C00"/>
    <w:rsid w:val="00653EF0"/>
    <w:rsid w:val="00654068"/>
    <w:rsid w:val="0065448B"/>
    <w:rsid w:val="006554ED"/>
    <w:rsid w:val="00657AA9"/>
    <w:rsid w:val="00660DB2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7708C"/>
    <w:rsid w:val="00682663"/>
    <w:rsid w:val="00683538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45"/>
    <w:rsid w:val="006E31A5"/>
    <w:rsid w:val="006E58FA"/>
    <w:rsid w:val="006E5FBE"/>
    <w:rsid w:val="006F06C8"/>
    <w:rsid w:val="006F0945"/>
    <w:rsid w:val="006F1329"/>
    <w:rsid w:val="006F17D3"/>
    <w:rsid w:val="006F18C6"/>
    <w:rsid w:val="006F260B"/>
    <w:rsid w:val="006F299E"/>
    <w:rsid w:val="006F3920"/>
    <w:rsid w:val="006F5EAB"/>
    <w:rsid w:val="00700112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205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977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348F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0F6"/>
    <w:rsid w:val="007954CE"/>
    <w:rsid w:val="00796B79"/>
    <w:rsid w:val="007971F8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B6DA9"/>
    <w:rsid w:val="007C0FE1"/>
    <w:rsid w:val="007C10FC"/>
    <w:rsid w:val="007C1F98"/>
    <w:rsid w:val="007C2309"/>
    <w:rsid w:val="007C2BFE"/>
    <w:rsid w:val="007C4709"/>
    <w:rsid w:val="007C50BA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065B"/>
    <w:rsid w:val="007F304F"/>
    <w:rsid w:val="007F485F"/>
    <w:rsid w:val="007F6F40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17AD5"/>
    <w:rsid w:val="00821D01"/>
    <w:rsid w:val="008229C5"/>
    <w:rsid w:val="0082345C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A69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3F57"/>
    <w:rsid w:val="00864499"/>
    <w:rsid w:val="0086490A"/>
    <w:rsid w:val="008654DB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4E78"/>
    <w:rsid w:val="0088606A"/>
    <w:rsid w:val="008865A6"/>
    <w:rsid w:val="008918D7"/>
    <w:rsid w:val="00891AC9"/>
    <w:rsid w:val="00892005"/>
    <w:rsid w:val="008970F0"/>
    <w:rsid w:val="008A032D"/>
    <w:rsid w:val="008A0E5B"/>
    <w:rsid w:val="008A1CFE"/>
    <w:rsid w:val="008A260E"/>
    <w:rsid w:val="008A27C7"/>
    <w:rsid w:val="008A2D9D"/>
    <w:rsid w:val="008A4C80"/>
    <w:rsid w:val="008A4F06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3A2F"/>
    <w:rsid w:val="008C54C2"/>
    <w:rsid w:val="008C72D3"/>
    <w:rsid w:val="008C7A9C"/>
    <w:rsid w:val="008D0DB6"/>
    <w:rsid w:val="008D1C5C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E681D"/>
    <w:rsid w:val="008E7AE9"/>
    <w:rsid w:val="008E7C28"/>
    <w:rsid w:val="008F35F5"/>
    <w:rsid w:val="008F428D"/>
    <w:rsid w:val="008F4F2D"/>
    <w:rsid w:val="008F707C"/>
    <w:rsid w:val="008F76F3"/>
    <w:rsid w:val="008F7703"/>
    <w:rsid w:val="00900B6A"/>
    <w:rsid w:val="0090187E"/>
    <w:rsid w:val="00901AF5"/>
    <w:rsid w:val="009050B5"/>
    <w:rsid w:val="009114EA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DF4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25B0"/>
    <w:rsid w:val="009530DA"/>
    <w:rsid w:val="00954363"/>
    <w:rsid w:val="00954A82"/>
    <w:rsid w:val="00954C83"/>
    <w:rsid w:val="00955A25"/>
    <w:rsid w:val="009617CB"/>
    <w:rsid w:val="009633AE"/>
    <w:rsid w:val="0096612E"/>
    <w:rsid w:val="0096682C"/>
    <w:rsid w:val="00966FD9"/>
    <w:rsid w:val="0097177B"/>
    <w:rsid w:val="009731F6"/>
    <w:rsid w:val="00974F33"/>
    <w:rsid w:val="009753CF"/>
    <w:rsid w:val="0097575B"/>
    <w:rsid w:val="009777D9"/>
    <w:rsid w:val="00977ECA"/>
    <w:rsid w:val="00982109"/>
    <w:rsid w:val="009822E6"/>
    <w:rsid w:val="0098255B"/>
    <w:rsid w:val="0098465A"/>
    <w:rsid w:val="009865D8"/>
    <w:rsid w:val="00986D05"/>
    <w:rsid w:val="0098711E"/>
    <w:rsid w:val="0099130C"/>
    <w:rsid w:val="0099145D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749"/>
    <w:rsid w:val="009B483B"/>
    <w:rsid w:val="009B48D9"/>
    <w:rsid w:val="009B65B4"/>
    <w:rsid w:val="009B7ECE"/>
    <w:rsid w:val="009C1DBC"/>
    <w:rsid w:val="009C45B1"/>
    <w:rsid w:val="009C673E"/>
    <w:rsid w:val="009C7E12"/>
    <w:rsid w:val="009D120B"/>
    <w:rsid w:val="009D167C"/>
    <w:rsid w:val="009D20D5"/>
    <w:rsid w:val="009D43DC"/>
    <w:rsid w:val="009D46D1"/>
    <w:rsid w:val="009D4998"/>
    <w:rsid w:val="009D5B95"/>
    <w:rsid w:val="009D65F7"/>
    <w:rsid w:val="009D67C4"/>
    <w:rsid w:val="009D6B58"/>
    <w:rsid w:val="009E1413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2F02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35F5"/>
    <w:rsid w:val="00A24F2C"/>
    <w:rsid w:val="00A2677B"/>
    <w:rsid w:val="00A27E7D"/>
    <w:rsid w:val="00A31A37"/>
    <w:rsid w:val="00A31C1C"/>
    <w:rsid w:val="00A32909"/>
    <w:rsid w:val="00A334EA"/>
    <w:rsid w:val="00A3486E"/>
    <w:rsid w:val="00A361E8"/>
    <w:rsid w:val="00A36D9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1952"/>
    <w:rsid w:val="00A64188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87B23"/>
    <w:rsid w:val="00A9159D"/>
    <w:rsid w:val="00A91A5A"/>
    <w:rsid w:val="00A91A70"/>
    <w:rsid w:val="00A950BC"/>
    <w:rsid w:val="00A9532D"/>
    <w:rsid w:val="00A95FFE"/>
    <w:rsid w:val="00A97115"/>
    <w:rsid w:val="00A9775D"/>
    <w:rsid w:val="00AA036D"/>
    <w:rsid w:val="00AA2C63"/>
    <w:rsid w:val="00AA5108"/>
    <w:rsid w:val="00AA5B51"/>
    <w:rsid w:val="00AA5FB7"/>
    <w:rsid w:val="00AA615D"/>
    <w:rsid w:val="00AA7A99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E7B6D"/>
    <w:rsid w:val="00AF37B5"/>
    <w:rsid w:val="00AF37FB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49B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43BB8"/>
    <w:rsid w:val="00B50FC5"/>
    <w:rsid w:val="00B531ED"/>
    <w:rsid w:val="00B538FD"/>
    <w:rsid w:val="00B54828"/>
    <w:rsid w:val="00B54E5F"/>
    <w:rsid w:val="00B54F86"/>
    <w:rsid w:val="00B5576B"/>
    <w:rsid w:val="00B63E25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12B6"/>
    <w:rsid w:val="00B82ADC"/>
    <w:rsid w:val="00B83AC3"/>
    <w:rsid w:val="00B84989"/>
    <w:rsid w:val="00B85927"/>
    <w:rsid w:val="00B862D0"/>
    <w:rsid w:val="00B87479"/>
    <w:rsid w:val="00B90CFD"/>
    <w:rsid w:val="00B91F28"/>
    <w:rsid w:val="00B93954"/>
    <w:rsid w:val="00B9407B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3A46"/>
    <w:rsid w:val="00BB44E7"/>
    <w:rsid w:val="00BB65AB"/>
    <w:rsid w:val="00BB6A88"/>
    <w:rsid w:val="00BC0AF1"/>
    <w:rsid w:val="00BC0BE5"/>
    <w:rsid w:val="00BC1BEB"/>
    <w:rsid w:val="00BC3266"/>
    <w:rsid w:val="00BC4DD2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4A5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3D9F"/>
    <w:rsid w:val="00C43EB0"/>
    <w:rsid w:val="00C44C85"/>
    <w:rsid w:val="00C45565"/>
    <w:rsid w:val="00C46884"/>
    <w:rsid w:val="00C46C95"/>
    <w:rsid w:val="00C472DE"/>
    <w:rsid w:val="00C47509"/>
    <w:rsid w:val="00C47B90"/>
    <w:rsid w:val="00C47D4F"/>
    <w:rsid w:val="00C50001"/>
    <w:rsid w:val="00C50680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210"/>
    <w:rsid w:val="00C767D1"/>
    <w:rsid w:val="00C777D1"/>
    <w:rsid w:val="00C83B53"/>
    <w:rsid w:val="00C83FBD"/>
    <w:rsid w:val="00C84BA1"/>
    <w:rsid w:val="00C8501D"/>
    <w:rsid w:val="00C8509C"/>
    <w:rsid w:val="00C87E2C"/>
    <w:rsid w:val="00C907A4"/>
    <w:rsid w:val="00C90A36"/>
    <w:rsid w:val="00C916EA"/>
    <w:rsid w:val="00CA1F38"/>
    <w:rsid w:val="00CA602D"/>
    <w:rsid w:val="00CA65B0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12A0"/>
    <w:rsid w:val="00CC3627"/>
    <w:rsid w:val="00CC5C6A"/>
    <w:rsid w:val="00CC627D"/>
    <w:rsid w:val="00CC6D8A"/>
    <w:rsid w:val="00CC73CB"/>
    <w:rsid w:val="00CD11C7"/>
    <w:rsid w:val="00CD1285"/>
    <w:rsid w:val="00CD57E6"/>
    <w:rsid w:val="00CD6C2D"/>
    <w:rsid w:val="00CD7484"/>
    <w:rsid w:val="00CD7C6E"/>
    <w:rsid w:val="00CE1525"/>
    <w:rsid w:val="00CE1A10"/>
    <w:rsid w:val="00CE1A45"/>
    <w:rsid w:val="00CE1B11"/>
    <w:rsid w:val="00CE22EC"/>
    <w:rsid w:val="00CE28F9"/>
    <w:rsid w:val="00CE2B6D"/>
    <w:rsid w:val="00CE2D51"/>
    <w:rsid w:val="00CE5C0B"/>
    <w:rsid w:val="00CE7CE4"/>
    <w:rsid w:val="00CE7D1E"/>
    <w:rsid w:val="00CF131C"/>
    <w:rsid w:val="00CF47F0"/>
    <w:rsid w:val="00CF5DE2"/>
    <w:rsid w:val="00CF6165"/>
    <w:rsid w:val="00CF6EAB"/>
    <w:rsid w:val="00D0015A"/>
    <w:rsid w:val="00D003D3"/>
    <w:rsid w:val="00D02277"/>
    <w:rsid w:val="00D02A89"/>
    <w:rsid w:val="00D0340A"/>
    <w:rsid w:val="00D10C3D"/>
    <w:rsid w:val="00D10FE0"/>
    <w:rsid w:val="00D126A0"/>
    <w:rsid w:val="00D14634"/>
    <w:rsid w:val="00D14958"/>
    <w:rsid w:val="00D15024"/>
    <w:rsid w:val="00D15119"/>
    <w:rsid w:val="00D15CBE"/>
    <w:rsid w:val="00D20BDA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21CE"/>
    <w:rsid w:val="00D43FC7"/>
    <w:rsid w:val="00D453C2"/>
    <w:rsid w:val="00D503B7"/>
    <w:rsid w:val="00D5276A"/>
    <w:rsid w:val="00D56BE3"/>
    <w:rsid w:val="00D57FBB"/>
    <w:rsid w:val="00D603DE"/>
    <w:rsid w:val="00D60ADC"/>
    <w:rsid w:val="00D60BDE"/>
    <w:rsid w:val="00D60FDF"/>
    <w:rsid w:val="00D62531"/>
    <w:rsid w:val="00D62C29"/>
    <w:rsid w:val="00D6508A"/>
    <w:rsid w:val="00D67408"/>
    <w:rsid w:val="00D70AC0"/>
    <w:rsid w:val="00D71F02"/>
    <w:rsid w:val="00D74853"/>
    <w:rsid w:val="00D74E04"/>
    <w:rsid w:val="00D75ADC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0691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65FE"/>
    <w:rsid w:val="00DB7655"/>
    <w:rsid w:val="00DC159B"/>
    <w:rsid w:val="00DC26F9"/>
    <w:rsid w:val="00DC28D0"/>
    <w:rsid w:val="00DC4204"/>
    <w:rsid w:val="00DC4477"/>
    <w:rsid w:val="00DC5BD8"/>
    <w:rsid w:val="00DC5F3C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1253"/>
    <w:rsid w:val="00E12B61"/>
    <w:rsid w:val="00E143AD"/>
    <w:rsid w:val="00E15F7A"/>
    <w:rsid w:val="00E174C0"/>
    <w:rsid w:val="00E2220D"/>
    <w:rsid w:val="00E22961"/>
    <w:rsid w:val="00E2678B"/>
    <w:rsid w:val="00E27627"/>
    <w:rsid w:val="00E30235"/>
    <w:rsid w:val="00E31012"/>
    <w:rsid w:val="00E32010"/>
    <w:rsid w:val="00E32F6D"/>
    <w:rsid w:val="00E3611C"/>
    <w:rsid w:val="00E37FCE"/>
    <w:rsid w:val="00E4084F"/>
    <w:rsid w:val="00E4103A"/>
    <w:rsid w:val="00E4121C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2235"/>
    <w:rsid w:val="00E63440"/>
    <w:rsid w:val="00E66365"/>
    <w:rsid w:val="00E66EE3"/>
    <w:rsid w:val="00E67BD2"/>
    <w:rsid w:val="00E67FD4"/>
    <w:rsid w:val="00E7035E"/>
    <w:rsid w:val="00E709BE"/>
    <w:rsid w:val="00E70C32"/>
    <w:rsid w:val="00E7307B"/>
    <w:rsid w:val="00E745D1"/>
    <w:rsid w:val="00E74AB2"/>
    <w:rsid w:val="00E74D0D"/>
    <w:rsid w:val="00E75273"/>
    <w:rsid w:val="00E76749"/>
    <w:rsid w:val="00E76DBB"/>
    <w:rsid w:val="00E76FF1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2B1B"/>
    <w:rsid w:val="00EA42C7"/>
    <w:rsid w:val="00EA441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86F"/>
    <w:rsid w:val="00EE296C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208"/>
    <w:rsid w:val="00F0166E"/>
    <w:rsid w:val="00F01B3F"/>
    <w:rsid w:val="00F0670E"/>
    <w:rsid w:val="00F06C18"/>
    <w:rsid w:val="00F07230"/>
    <w:rsid w:val="00F072DC"/>
    <w:rsid w:val="00F1007F"/>
    <w:rsid w:val="00F119AA"/>
    <w:rsid w:val="00F11CF0"/>
    <w:rsid w:val="00F11D25"/>
    <w:rsid w:val="00F123E8"/>
    <w:rsid w:val="00F127A6"/>
    <w:rsid w:val="00F12E43"/>
    <w:rsid w:val="00F20FAF"/>
    <w:rsid w:val="00F21487"/>
    <w:rsid w:val="00F22B2F"/>
    <w:rsid w:val="00F30444"/>
    <w:rsid w:val="00F30D61"/>
    <w:rsid w:val="00F362C6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35D5"/>
    <w:rsid w:val="00F64D99"/>
    <w:rsid w:val="00F67726"/>
    <w:rsid w:val="00F67B2E"/>
    <w:rsid w:val="00F67D54"/>
    <w:rsid w:val="00F70236"/>
    <w:rsid w:val="00F7188C"/>
    <w:rsid w:val="00F71B0D"/>
    <w:rsid w:val="00F732D3"/>
    <w:rsid w:val="00F734E4"/>
    <w:rsid w:val="00F73D5C"/>
    <w:rsid w:val="00F74D60"/>
    <w:rsid w:val="00F77E58"/>
    <w:rsid w:val="00F809C4"/>
    <w:rsid w:val="00F8322E"/>
    <w:rsid w:val="00F87DC6"/>
    <w:rsid w:val="00F92EC8"/>
    <w:rsid w:val="00F93493"/>
    <w:rsid w:val="00F9351F"/>
    <w:rsid w:val="00F95904"/>
    <w:rsid w:val="00FA0A7D"/>
    <w:rsid w:val="00FA0ECE"/>
    <w:rsid w:val="00FA14E4"/>
    <w:rsid w:val="00FA1BA3"/>
    <w:rsid w:val="00FA1E29"/>
    <w:rsid w:val="00FA4AB2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6A1"/>
    <w:rsid w:val="00FD0899"/>
    <w:rsid w:val="00FD108E"/>
    <w:rsid w:val="00FD1109"/>
    <w:rsid w:val="00FD1339"/>
    <w:rsid w:val="00FD29D7"/>
    <w:rsid w:val="00FE08B5"/>
    <w:rsid w:val="00FE20DF"/>
    <w:rsid w:val="00FE2667"/>
    <w:rsid w:val="00FE2E6A"/>
    <w:rsid w:val="00FE47FF"/>
    <w:rsid w:val="00FE58AD"/>
    <w:rsid w:val="00FE5DE0"/>
    <w:rsid w:val="00FE6DC2"/>
    <w:rsid w:val="00FF1EE6"/>
    <w:rsid w:val="00FF22CE"/>
    <w:rsid w:val="00FF251B"/>
    <w:rsid w:val="00FF2B9C"/>
    <w:rsid w:val="00FF3447"/>
    <w:rsid w:val="00FF3466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970FE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3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B970FE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Default">
    <w:name w:val="Default"/>
    <w:rsid w:val="008F76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037953"/>
    <w:pPr>
      <w:spacing w:before="100" w:beforeAutospacing="1" w:after="100" w:afterAutospacing="1"/>
      <w:ind w:firstLine="0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0379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80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10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96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69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232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89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33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6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0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65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918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216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1096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108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10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3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7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18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26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750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43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3479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106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4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4761B-DE7D-4841-A751-414E42BF4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5</Pages>
  <Words>3043</Words>
  <Characters>16438</Characters>
  <Application>Microsoft Office Word</Application>
  <DocSecurity>0</DocSecurity>
  <Lines>136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Débora Maciel</cp:lastModifiedBy>
  <cp:revision>136</cp:revision>
  <cp:lastPrinted>2025-07-29T16:18:00Z</cp:lastPrinted>
  <dcterms:created xsi:type="dcterms:W3CDTF">2024-01-26T17:02:00Z</dcterms:created>
  <dcterms:modified xsi:type="dcterms:W3CDTF">2026-01-16T19:28:00Z</dcterms:modified>
</cp:coreProperties>
</file>